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F911" w14:textId="75779BB3" w:rsidR="009C3397" w:rsidRDefault="00BA41C9" w:rsidP="009C3397">
      <w:pPr>
        <w:pStyle w:val="Heading1"/>
      </w:pPr>
      <w:bookmarkStart w:id="0" w:name="_Toc535362185"/>
      <w:bookmarkStart w:id="1" w:name="_Toc535697008"/>
      <w:bookmarkStart w:id="2" w:name="_Toc535921598"/>
      <w:r>
        <w:t>Environmental Science</w:t>
      </w:r>
    </w:p>
    <w:p w14:paraId="100A68B0" w14:textId="77777777" w:rsidR="009C3397" w:rsidRPr="009C3397" w:rsidRDefault="009C3397" w:rsidP="009C3397"/>
    <w:p w14:paraId="17A17379" w14:textId="293AB8C4" w:rsidR="009C3397" w:rsidRPr="00764DA2" w:rsidRDefault="009C3397" w:rsidP="009C3397">
      <w:pPr>
        <w:pStyle w:val="Heading2"/>
      </w:pPr>
      <w:r w:rsidRPr="00764DA2">
        <w:t>Course Description</w:t>
      </w:r>
      <w:bookmarkEnd w:id="0"/>
      <w:bookmarkEnd w:id="1"/>
      <w:bookmarkEnd w:id="2"/>
    </w:p>
    <w:p w14:paraId="7D6A26BF" w14:textId="49093A80" w:rsidR="008242EF" w:rsidRDefault="00761BB9" w:rsidP="009C3397">
      <w:bookmarkStart w:id="3" w:name="_Toc535362189"/>
      <w:bookmarkStart w:id="4" w:name="_Toc535697011"/>
      <w:bookmarkStart w:id="5" w:name="_Toc535921601"/>
      <w:r w:rsidRPr="00761BB9">
        <w:t>This course provides a general introduction to the historical and current status of the environment, with a focus on the most urgent conservation, environment, and pollution issues we face today. It provides the foundation for the study of the natural world, helping to identify and define sustainability, encourage stewardship of the environment, and educate the population through use of sound science. Because environmental science is a multidisciplinary field, this course draws in students whose primary interests are from a wide range of study. While most of the material is grounded in biology, it incorporates anthropology, history, archeology, sociology, and psychology to better understand how humans interact with the environment. In addition, the areas of economics and business management have a growing influence in shaping the quality of our environment and are, thus, included as part of this course.</w:t>
      </w:r>
    </w:p>
    <w:p w14:paraId="02161DF1" w14:textId="77777777" w:rsidR="00761BB9" w:rsidRPr="009C3397" w:rsidRDefault="00761BB9" w:rsidP="009C3397"/>
    <w:p w14:paraId="17F4C4D7" w14:textId="5BBF9D1D" w:rsidR="009C3397" w:rsidRDefault="009C3397" w:rsidP="009C3397">
      <w:pPr>
        <w:pStyle w:val="Heading2"/>
      </w:pPr>
      <w:r>
        <w:t>Required Text</w:t>
      </w:r>
      <w:bookmarkEnd w:id="3"/>
      <w:bookmarkEnd w:id="4"/>
      <w:bookmarkEnd w:id="5"/>
    </w:p>
    <w:p w14:paraId="412C4E2B" w14:textId="08068E69" w:rsidR="009C3397" w:rsidRDefault="007E2E69" w:rsidP="009C3397">
      <w:pPr>
        <w:pStyle w:val="Heading2"/>
        <w:rPr>
          <w:rFonts w:asciiTheme="minorHAnsi" w:eastAsiaTheme="minorHAnsi" w:hAnsiTheme="minorHAnsi" w:cstheme="minorBidi"/>
          <w:bCs w:val="0"/>
          <w:color w:val="auto"/>
          <w:sz w:val="22"/>
          <w:szCs w:val="22"/>
          <w:u w:color="000000"/>
        </w:rPr>
      </w:pPr>
      <w:r w:rsidRPr="007E2E69">
        <w:rPr>
          <w:rFonts w:asciiTheme="minorHAnsi" w:eastAsiaTheme="minorHAnsi" w:hAnsiTheme="minorHAnsi" w:cstheme="minorBidi"/>
          <w:bCs w:val="0"/>
          <w:color w:val="auto"/>
          <w:sz w:val="22"/>
          <w:szCs w:val="22"/>
          <w:u w:color="000000"/>
        </w:rPr>
        <w:t xml:space="preserve">The text that accompanies this course is </w:t>
      </w:r>
      <w:r w:rsidR="00A47926" w:rsidRPr="00A47926">
        <w:rPr>
          <w:rFonts w:asciiTheme="minorHAnsi" w:eastAsiaTheme="minorHAnsi" w:hAnsiTheme="minorHAnsi" w:cstheme="minorBidi"/>
          <w:bCs w:val="0"/>
          <w:i/>
          <w:color w:val="auto"/>
          <w:sz w:val="22"/>
          <w:szCs w:val="22"/>
          <w:u w:color="000000"/>
        </w:rPr>
        <w:t>Environmental Science: Toward a Sustainable Future</w:t>
      </w:r>
      <w:r w:rsidRPr="007E2E69">
        <w:rPr>
          <w:rFonts w:asciiTheme="minorHAnsi" w:eastAsiaTheme="minorHAnsi" w:hAnsiTheme="minorHAnsi" w:cstheme="minorBidi"/>
          <w:bCs w:val="0"/>
          <w:color w:val="auto"/>
          <w:sz w:val="22"/>
          <w:szCs w:val="22"/>
          <w:u w:color="000000"/>
        </w:rPr>
        <w:t>. (</w:t>
      </w:r>
      <w:r w:rsidR="00ED74C1">
        <w:rPr>
          <w:rFonts w:asciiTheme="minorHAnsi" w:eastAsiaTheme="minorHAnsi" w:hAnsiTheme="minorHAnsi" w:cstheme="minorBidi"/>
          <w:bCs w:val="0"/>
          <w:color w:val="auto"/>
          <w:sz w:val="22"/>
          <w:szCs w:val="22"/>
          <w:u w:color="000000"/>
        </w:rPr>
        <w:t>Wright</w:t>
      </w:r>
      <w:r w:rsidRPr="007E2E69">
        <w:rPr>
          <w:rFonts w:asciiTheme="minorHAnsi" w:eastAsiaTheme="minorHAnsi" w:hAnsiTheme="minorHAnsi" w:cstheme="minorBidi"/>
          <w:bCs w:val="0"/>
          <w:color w:val="auto"/>
          <w:sz w:val="22"/>
          <w:szCs w:val="22"/>
          <w:u w:color="000000"/>
        </w:rPr>
        <w:t>, 201</w:t>
      </w:r>
      <w:r w:rsidR="0076595A">
        <w:rPr>
          <w:rFonts w:asciiTheme="minorHAnsi" w:eastAsiaTheme="minorHAnsi" w:hAnsiTheme="minorHAnsi" w:cstheme="minorBidi"/>
          <w:bCs w:val="0"/>
          <w:color w:val="auto"/>
          <w:sz w:val="22"/>
          <w:szCs w:val="22"/>
          <w:u w:color="000000"/>
        </w:rPr>
        <w:t>6</w:t>
      </w:r>
      <w:r w:rsidRPr="007E2E69">
        <w:rPr>
          <w:rFonts w:asciiTheme="minorHAnsi" w:eastAsiaTheme="minorHAnsi" w:hAnsiTheme="minorHAnsi" w:cstheme="minorBidi"/>
          <w:bCs w:val="0"/>
          <w:color w:val="auto"/>
          <w:sz w:val="22"/>
          <w:szCs w:val="22"/>
          <w:u w:color="000000"/>
        </w:rPr>
        <w:t>)</w:t>
      </w:r>
    </w:p>
    <w:p w14:paraId="66F281FA" w14:textId="77777777" w:rsidR="007E2E69" w:rsidRPr="007E2E69" w:rsidRDefault="007E2E69" w:rsidP="007E2E69"/>
    <w:p w14:paraId="67B0CC59" w14:textId="1EB5D801" w:rsidR="009C3397" w:rsidRPr="001A06D2" w:rsidRDefault="009C3397" w:rsidP="009C3397">
      <w:pPr>
        <w:pStyle w:val="Heading2"/>
      </w:pPr>
      <w:r w:rsidRPr="001A06D2">
        <w:t>Prerequisites</w:t>
      </w:r>
    </w:p>
    <w:p w14:paraId="049C59D0" w14:textId="77777777" w:rsidR="009C3397" w:rsidRDefault="009C3397" w:rsidP="009C3397">
      <w:r>
        <w:t>There are no prerequisites for this course.</w:t>
      </w:r>
    </w:p>
    <w:p w14:paraId="555FEEAC" w14:textId="74CECC4B" w:rsidR="009C3397" w:rsidRDefault="009C3397" w:rsidP="009C3397">
      <w:pPr>
        <w:pStyle w:val="Heading2"/>
      </w:pPr>
    </w:p>
    <w:p w14:paraId="3C804BBD" w14:textId="235080B0" w:rsidR="00D42A2E" w:rsidRDefault="00235542" w:rsidP="00D42A2E">
      <w:pPr>
        <w:pStyle w:val="Heading2"/>
      </w:pPr>
      <w:r>
        <w:t>Learning Outcome</w:t>
      </w:r>
      <w:r w:rsidR="00D42A2E">
        <w:t>s</w:t>
      </w:r>
    </w:p>
    <w:p w14:paraId="2709F7BF"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Understand how the natural world works and how human systems are interacting with natural systems.</w:t>
      </w:r>
    </w:p>
    <w:p w14:paraId="4472132F"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Discuss various methods used to promote our long-term, sustainable relationship with the natural world.</w:t>
      </w:r>
    </w:p>
    <w:p w14:paraId="6756BFC6"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Know the standard guidelines used in the preparation and writing of a scientifically-based term paper.</w:t>
      </w:r>
    </w:p>
    <w:p w14:paraId="0607F6A2"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Describe the important conservation issues facing us today, with special focus on the threats to biodiversity and to human health.</w:t>
      </w:r>
    </w:p>
    <w:p w14:paraId="7A8D674F"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 xml:space="preserve">Explain the kinds of policies employed to regulate the use of natural resources and deal with pollution. </w:t>
      </w:r>
    </w:p>
    <w:p w14:paraId="1DC14653"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 xml:space="preserve">List the simple laws that control the transformation of energy from one type to another and its flow through Earth’s systems and back into space. </w:t>
      </w:r>
    </w:p>
    <w:p w14:paraId="1AB3A51D"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Explain how major changes in the Earth facilitate evolutionary change.</w:t>
      </w:r>
    </w:p>
    <w:p w14:paraId="78D1FD88"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 xml:space="preserve">Describe ways in which human actions alter populations and communities. </w:t>
      </w:r>
    </w:p>
    <w:p w14:paraId="2AF84CDC"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 xml:space="preserve">Explain why both population growth and consumption patterns must be addressed for stewardship of resources to occur. </w:t>
      </w:r>
    </w:p>
    <w:p w14:paraId="12A9508B"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lastRenderedPageBreak/>
        <w:t xml:space="preserve">Describe the structure of the atmosphere; distinguish between weather and climate; explain how the greenhouse effect warms the Earth and identify the greenhouse gases. </w:t>
      </w:r>
    </w:p>
    <w:p w14:paraId="048395F4"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Explain how air pollutants impact human health and cause damage to agricultural crops and natural ecosystems.</w:t>
      </w:r>
    </w:p>
    <w:p w14:paraId="471C609F" w14:textId="77777777" w:rsidR="003318F3" w:rsidRPr="003318F3"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 xml:space="preserve">Identify steps that can make communities more livable; describe how regions can use urban planning to better provide essential services and jobs to residents. </w:t>
      </w:r>
    </w:p>
    <w:p w14:paraId="29AA99B3" w14:textId="26B38955" w:rsidR="005E7667" w:rsidRPr="00AE037D" w:rsidRDefault="003318F3" w:rsidP="003318F3">
      <w:pPr>
        <w:pStyle w:val="body"/>
        <w:numPr>
          <w:ilvl w:val="0"/>
          <w:numId w:val="3"/>
        </w:numPr>
        <w:rPr>
          <w:rFonts w:asciiTheme="minorHAnsi" w:hAnsiTheme="minorHAnsi" w:cstheme="minorHAnsi"/>
          <w:sz w:val="22"/>
          <w:szCs w:val="22"/>
        </w:rPr>
      </w:pPr>
      <w:r w:rsidRPr="003318F3">
        <w:rPr>
          <w:rFonts w:asciiTheme="minorHAnsi" w:hAnsiTheme="minorHAnsi" w:cstheme="minorHAnsi"/>
          <w:sz w:val="22"/>
          <w:szCs w:val="22"/>
        </w:rPr>
        <w:t>Evaluate actions that can help move our society toward greater sustainability, including lifestyle options open to people who want to be responsible stewards.</w:t>
      </w:r>
    </w:p>
    <w:p w14:paraId="17911C51" w14:textId="77777777" w:rsidR="005E7667" w:rsidRDefault="005E7667" w:rsidP="005E7667">
      <w:pPr>
        <w:pStyle w:val="body"/>
        <w:rPr>
          <w:rFonts w:ascii="Arial" w:hAnsi="Arial" w:cs="Arial"/>
        </w:rPr>
      </w:pPr>
    </w:p>
    <w:p w14:paraId="7D2E2E1E" w14:textId="4059CB1C" w:rsidR="009C3397" w:rsidRDefault="009C3397" w:rsidP="009C3397">
      <w:pPr>
        <w:pStyle w:val="Heading2"/>
      </w:pPr>
      <w:r w:rsidRPr="00736A05">
        <w:t xml:space="preserve">Course </w:t>
      </w:r>
      <w:r w:rsidR="001153C7">
        <w:t>Topics</w:t>
      </w:r>
    </w:p>
    <w:p w14:paraId="39421D70" w14:textId="0639D4CB" w:rsidR="009C3397" w:rsidRPr="00F7564B" w:rsidRDefault="009C3397" w:rsidP="009C3397"/>
    <w:tbl>
      <w:tblPr>
        <w:tblStyle w:val="GridTable1Light-Accent3"/>
        <w:tblW w:w="0" w:type="auto"/>
        <w:tblLook w:val="04A0" w:firstRow="1" w:lastRow="0" w:firstColumn="1" w:lastColumn="0" w:noHBand="0" w:noVBand="1"/>
      </w:tblPr>
      <w:tblGrid>
        <w:gridCol w:w="2965"/>
        <w:gridCol w:w="6385"/>
      </w:tblGrid>
      <w:tr w:rsidR="009C3397" w14:paraId="32298EC0" w14:textId="77777777" w:rsidTr="0038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8702FB9" w14:textId="77777777" w:rsidR="009C3397" w:rsidRDefault="009C3397" w:rsidP="00381876">
            <w:pPr>
              <w:jc w:val="center"/>
            </w:pPr>
            <w:r>
              <w:t>Category/Topics</w:t>
            </w:r>
          </w:p>
        </w:tc>
        <w:tc>
          <w:tcPr>
            <w:tcW w:w="6385" w:type="dxa"/>
          </w:tcPr>
          <w:p w14:paraId="42E3A479" w14:textId="2FA84556" w:rsidR="009C3397" w:rsidRDefault="009C3397" w:rsidP="00381876">
            <w:pPr>
              <w:jc w:val="center"/>
              <w:cnfStyle w:val="100000000000" w:firstRow="1" w:lastRow="0" w:firstColumn="0" w:lastColumn="0" w:oddVBand="0" w:evenVBand="0" w:oddHBand="0" w:evenHBand="0" w:firstRowFirstColumn="0" w:firstRowLastColumn="0" w:lastRowFirstColumn="0" w:lastRowLastColumn="0"/>
            </w:pPr>
            <w:r>
              <w:t xml:space="preserve">Learning </w:t>
            </w:r>
            <w:r w:rsidR="000E20DE">
              <w:t>Content</w:t>
            </w:r>
          </w:p>
        </w:tc>
      </w:tr>
      <w:tr w:rsidR="006F7348" w14:paraId="63DDA148"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FD4E0F2" w14:textId="3280CE10" w:rsidR="006F7348" w:rsidRDefault="006F7348" w:rsidP="006F7348">
            <w:pPr>
              <w:ind w:left="251"/>
            </w:pPr>
            <w:r w:rsidRPr="00192BE9">
              <w:t>Science and the Environment</w:t>
            </w:r>
          </w:p>
        </w:tc>
        <w:tc>
          <w:tcPr>
            <w:tcW w:w="6385" w:type="dxa"/>
          </w:tcPr>
          <w:p w14:paraId="54C6A610" w14:textId="70BF82AB"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Explain</w:t>
            </w:r>
            <w:r w:rsidR="00FF4A1D">
              <w:t>s</w:t>
            </w:r>
            <w:r w:rsidRPr="00192BE9">
              <w:t xml:space="preserve"> the main reasons for concern about the health of our planet today and describe</w:t>
            </w:r>
            <w:r w:rsidR="00FF4A1D">
              <w:t>s</w:t>
            </w:r>
            <w:r w:rsidRPr="00192BE9">
              <w:t xml:space="preserve"> what the environmental movement has achieved in recent years. Define</w:t>
            </w:r>
            <w:r w:rsidR="00FF4A1D">
              <w:t>s</w:t>
            </w:r>
            <w:r w:rsidRPr="00192BE9">
              <w:t xml:space="preserve"> sustainability and stewardship. Explain</w:t>
            </w:r>
            <w:r w:rsidR="00FF4A1D">
              <w:t>s</w:t>
            </w:r>
            <w:r w:rsidRPr="00192BE9">
              <w:t xml:space="preserve"> the process of science, how the scientific community tests new ideas, and contrast</w:t>
            </w:r>
            <w:r w:rsidR="00FF4A1D">
              <w:t>s</w:t>
            </w:r>
            <w:r w:rsidRPr="00192BE9">
              <w:t xml:space="preserve"> sound science with junk science.</w:t>
            </w:r>
          </w:p>
        </w:tc>
      </w:tr>
      <w:tr w:rsidR="006F7348" w14:paraId="54EA8CF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8812F75" w14:textId="747871A6" w:rsidR="006F7348" w:rsidRDefault="006F7348" w:rsidP="006F7348">
            <w:pPr>
              <w:ind w:left="251"/>
            </w:pPr>
            <w:r w:rsidRPr="00192BE9">
              <w:t>Economics, Politics, and Public Policy</w:t>
            </w:r>
          </w:p>
        </w:tc>
        <w:tc>
          <w:tcPr>
            <w:tcW w:w="6385" w:type="dxa"/>
          </w:tcPr>
          <w:p w14:paraId="1F066F5A" w14:textId="22EE53DE"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Describe</w:t>
            </w:r>
            <w:r w:rsidR="009F37DC">
              <w:t>s</w:t>
            </w:r>
            <w:r w:rsidRPr="00192BE9">
              <w:t xml:space="preserve"> how economic activity relates to environmental goods and services, then differentiate</w:t>
            </w:r>
            <w:r w:rsidR="009F37DC">
              <w:t>s</w:t>
            </w:r>
            <w:r w:rsidRPr="00192BE9">
              <w:t xml:space="preserve"> between green and brown economies. Describe</w:t>
            </w:r>
            <w:r w:rsidR="009F37DC">
              <w:t>s</w:t>
            </w:r>
            <w:r w:rsidRPr="00192BE9">
              <w:t xml:space="preserve"> a typical policy life cycle. Discuss</w:t>
            </w:r>
            <w:r w:rsidR="00C54A79">
              <w:t>es</w:t>
            </w:r>
            <w:r w:rsidRPr="00192BE9">
              <w:t xml:space="preserve"> how cost-benefit analysis is applied to environmental policy regulations. List</w:t>
            </w:r>
            <w:r w:rsidR="00C54A79">
              <w:t>s</w:t>
            </w:r>
            <w:r w:rsidRPr="00192BE9">
              <w:t xml:space="preserve"> several international policies and innovative ways in which economies can be changed in order to make them environmentally sound.</w:t>
            </w:r>
          </w:p>
        </w:tc>
      </w:tr>
      <w:tr w:rsidR="006F7348" w14:paraId="128D360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52F8FB7" w14:textId="1493AB59" w:rsidR="006F7348" w:rsidRDefault="006F7348" w:rsidP="006F7348">
            <w:pPr>
              <w:ind w:left="251"/>
            </w:pPr>
            <w:r w:rsidRPr="00192BE9">
              <w:t>Basic Needs of Living Things</w:t>
            </w:r>
          </w:p>
        </w:tc>
        <w:tc>
          <w:tcPr>
            <w:tcW w:w="6385" w:type="dxa"/>
          </w:tcPr>
          <w:p w14:paraId="4CA93619" w14:textId="13F2B02C"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Explain</w:t>
            </w:r>
            <w:r w:rsidR="00C54A79">
              <w:t>s</w:t>
            </w:r>
            <w:r w:rsidRPr="00192BE9">
              <w:t xml:space="preserve"> how the science of ecology can be described as a hierarchy of questions and describe</w:t>
            </w:r>
            <w:r w:rsidR="009218C7">
              <w:t>s</w:t>
            </w:r>
            <w:r w:rsidRPr="00192BE9">
              <w:t xml:space="preserve"> the different types of </w:t>
            </w:r>
            <w:r w:rsidR="009218C7" w:rsidRPr="00192BE9">
              <w:t xml:space="preserve">questions </w:t>
            </w:r>
            <w:r w:rsidRPr="00192BE9">
              <w:t>ecologists ask and study. Define</w:t>
            </w:r>
            <w:r w:rsidR="00D56593">
              <w:t>s</w:t>
            </w:r>
            <w:r w:rsidRPr="00192BE9">
              <w:t xml:space="preserve"> an organism’s niche and explain</w:t>
            </w:r>
            <w:r w:rsidR="00430FD1">
              <w:t>s</w:t>
            </w:r>
            <w:r w:rsidRPr="00192BE9">
              <w:t xml:space="preserve"> how living things need materials to build tissues and energy to carry out life processes such as photosynthesis and cellular respiration. Describe</w:t>
            </w:r>
            <w:r w:rsidR="00E44209">
              <w:t>s</w:t>
            </w:r>
            <w:r w:rsidRPr="00192BE9">
              <w:t xml:space="preserve"> the biogeochemical cycles of the elements of carbon, phosphorus, nitrogen, and sulfur as they cycle through living and nonliving spheres.</w:t>
            </w:r>
          </w:p>
        </w:tc>
      </w:tr>
      <w:tr w:rsidR="006F7348" w14:paraId="0084B03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0BC67B0" w14:textId="74F6E3E3" w:rsidR="006F7348" w:rsidRDefault="006F7348" w:rsidP="006F7348">
            <w:pPr>
              <w:ind w:left="251"/>
            </w:pPr>
            <w:r w:rsidRPr="00192BE9">
              <w:t>Populations and Communities</w:t>
            </w:r>
          </w:p>
        </w:tc>
        <w:tc>
          <w:tcPr>
            <w:tcW w:w="6385" w:type="dxa"/>
          </w:tcPr>
          <w:p w14:paraId="46E2A946" w14:textId="4F6EC8A9"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Describe</w:t>
            </w:r>
            <w:r w:rsidR="00E44209">
              <w:t>s</w:t>
            </w:r>
            <w:r w:rsidRPr="00192BE9">
              <w:t xml:space="preserve"> three models of </w:t>
            </w:r>
            <w:r w:rsidR="004D47B9">
              <w:t>how</w:t>
            </w:r>
            <w:r w:rsidRPr="00192BE9">
              <w:t xml:space="preserve"> populations grow and explain</w:t>
            </w:r>
            <w:r w:rsidR="004D47B9">
              <w:t>s</w:t>
            </w:r>
            <w:r w:rsidRPr="00192BE9">
              <w:t xml:space="preserve"> the graph that illustrates each. Identif</w:t>
            </w:r>
            <w:r w:rsidR="00EE7791">
              <w:t xml:space="preserve">ies </w:t>
            </w:r>
            <w:r w:rsidRPr="00192BE9">
              <w:t>factors that limit populations, including those that are density-dependent and density-independent. Define</w:t>
            </w:r>
            <w:r w:rsidR="00EE7791">
              <w:t>s</w:t>
            </w:r>
            <w:r w:rsidRPr="00192BE9">
              <w:t xml:space="preserve"> the types of interactions that can occur between species in a community and the effect of those interactions on each species. Describe</w:t>
            </w:r>
            <w:r w:rsidR="00EE7791">
              <w:t>s</w:t>
            </w:r>
            <w:r w:rsidRPr="00192BE9">
              <w:t xml:space="preserve"> the major ideas in the theory of evolution, such as inheritance and natural selection, and list</w:t>
            </w:r>
            <w:r w:rsidR="00EE7791">
              <w:t>s</w:t>
            </w:r>
            <w:r w:rsidRPr="00192BE9">
              <w:t xml:space="preserve"> examples of adaptations that allow organisms to survive. </w:t>
            </w:r>
          </w:p>
        </w:tc>
      </w:tr>
      <w:tr w:rsidR="006F7348" w14:paraId="543524EF"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0D3F2C06" w14:textId="6D99CD1A" w:rsidR="006F7348" w:rsidRDefault="006F7348" w:rsidP="006F7348">
            <w:pPr>
              <w:ind w:left="251"/>
            </w:pPr>
            <w:r w:rsidRPr="00192BE9">
              <w:t>Ecosystems: Energy, Patterns, and Disturbance</w:t>
            </w:r>
          </w:p>
        </w:tc>
        <w:tc>
          <w:tcPr>
            <w:tcW w:w="6385" w:type="dxa"/>
          </w:tcPr>
          <w:p w14:paraId="4B88A52A" w14:textId="6044324B"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Describe</w:t>
            </w:r>
            <w:r w:rsidR="00EE7791">
              <w:t>s</w:t>
            </w:r>
            <w:r w:rsidRPr="00192BE9">
              <w:t xml:space="preserve"> how matter and energy flow through ecosystems by moving from one trophic level to another. Define</w:t>
            </w:r>
            <w:r w:rsidR="00EE7791">
              <w:t>s</w:t>
            </w:r>
            <w:r w:rsidRPr="00192BE9">
              <w:t xml:space="preserve"> and recognize</w:t>
            </w:r>
            <w:r w:rsidR="00EE7791">
              <w:t>s</w:t>
            </w:r>
            <w:r w:rsidRPr="00192BE9">
              <w:t xml:space="preserve"> </w:t>
            </w:r>
            <w:r w:rsidRPr="00192BE9">
              <w:lastRenderedPageBreak/>
              <w:t>characteristics of major broad regions called biomes, major aquatic regions, and factors that determine their placement on the globe. Explain</w:t>
            </w:r>
            <w:r w:rsidR="00EE7791">
              <w:t>s</w:t>
            </w:r>
            <w:r w:rsidRPr="00192BE9">
              <w:t xml:space="preserve"> the effects of ecological disturbances that are normal in ecosystems and can even be beneficial. Describe</w:t>
            </w:r>
            <w:r w:rsidR="00DB5E2E">
              <w:t>s</w:t>
            </w:r>
            <w:r w:rsidRPr="00192BE9">
              <w:t xml:space="preserve"> ways that humans alter ecosystem services and explain</w:t>
            </w:r>
            <w:r w:rsidR="00DB5E2E">
              <w:t>s</w:t>
            </w:r>
            <w:r w:rsidRPr="00192BE9">
              <w:t xml:space="preserve"> why we need to manage ecosystems to protect their components from overuse.</w:t>
            </w:r>
          </w:p>
        </w:tc>
      </w:tr>
      <w:tr w:rsidR="006F7348" w14:paraId="59E84D92"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0461ADA" w14:textId="10C23B86" w:rsidR="006F7348" w:rsidRDefault="006F7348" w:rsidP="006F7348">
            <w:pPr>
              <w:ind w:left="251"/>
            </w:pPr>
            <w:r w:rsidRPr="00192BE9">
              <w:lastRenderedPageBreak/>
              <w:t>Wild Species and Biodiversity</w:t>
            </w:r>
          </w:p>
        </w:tc>
        <w:tc>
          <w:tcPr>
            <w:tcW w:w="6385" w:type="dxa"/>
          </w:tcPr>
          <w:p w14:paraId="5C80F29D" w14:textId="510B2C72"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Define</w:t>
            </w:r>
            <w:r w:rsidR="00DB5E2E">
              <w:t>s</w:t>
            </w:r>
            <w:r w:rsidRPr="00192BE9">
              <w:t xml:space="preserve"> and give</w:t>
            </w:r>
            <w:r w:rsidR="00DB5E2E">
              <w:t>s</w:t>
            </w:r>
            <w:r w:rsidRPr="00192BE9">
              <w:t xml:space="preserve"> examples of both the instrumental and intrinsic value of wild species. Explain</w:t>
            </w:r>
            <w:r w:rsidR="00DA5AEE">
              <w:t>s</w:t>
            </w:r>
            <w:r w:rsidRPr="00192BE9">
              <w:t xml:space="preserve"> the causes, extent, relation to human activities, and impacts of the tremendous loss of species occurring today. Explain</w:t>
            </w:r>
            <w:r w:rsidR="00DA5AEE">
              <w:t>s</w:t>
            </w:r>
            <w:r w:rsidRPr="00192BE9">
              <w:t xml:space="preserve"> how cutting-edge science, policies for protection, and changes in the way people think can be used to protect wild species. Describe</w:t>
            </w:r>
            <w:r w:rsidR="00AC5039">
              <w:t>s</w:t>
            </w:r>
            <w:r w:rsidRPr="00192BE9">
              <w:t xml:space="preserve"> international efforts to protect wild species.</w:t>
            </w:r>
          </w:p>
        </w:tc>
      </w:tr>
      <w:tr w:rsidR="006F7348" w14:paraId="2516585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7360503" w14:textId="76F9FE5D" w:rsidR="006F7348" w:rsidRDefault="006F7348" w:rsidP="006F7348">
            <w:pPr>
              <w:ind w:left="251"/>
            </w:pPr>
            <w:r w:rsidRPr="00192BE9">
              <w:t>The Use and Restoration of Ecosystems</w:t>
            </w:r>
          </w:p>
        </w:tc>
        <w:tc>
          <w:tcPr>
            <w:tcW w:w="6385" w:type="dxa"/>
          </w:tcPr>
          <w:p w14:paraId="6E6B4A82" w14:textId="4AF316A9"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List</w:t>
            </w:r>
            <w:r w:rsidR="00210924">
              <w:t>s</w:t>
            </w:r>
            <w:r w:rsidRPr="00192BE9">
              <w:t xml:space="preserve"> ways natural ecosystems have economic value as they provide goods and services vital to human well-being. Compare</w:t>
            </w:r>
            <w:r w:rsidR="00210924">
              <w:t>s</w:t>
            </w:r>
            <w:r w:rsidRPr="00192BE9">
              <w:t xml:space="preserve"> the consumptive and productive uses of ecosystems. Describe</w:t>
            </w:r>
            <w:r w:rsidR="00210924">
              <w:t>s</w:t>
            </w:r>
            <w:r w:rsidRPr="00192BE9">
              <w:t xml:space="preserve"> the value of ocean ecosystems; identif</w:t>
            </w:r>
            <w:r w:rsidR="00210924">
              <w:t>ies</w:t>
            </w:r>
            <w:r w:rsidRPr="00192BE9">
              <w:t xml:space="preserve"> the main threats to these ecosystems and solutions to these problems. Explain</w:t>
            </w:r>
            <w:r w:rsidR="00210924">
              <w:t>s</w:t>
            </w:r>
            <w:r w:rsidRPr="00192BE9">
              <w:t xml:space="preserve"> how the public and private management of lands is key to protecting habitats</w:t>
            </w:r>
            <w:r w:rsidR="00DF2864">
              <w:t xml:space="preserve"> </w:t>
            </w:r>
            <w:r w:rsidRPr="00192BE9">
              <w:t xml:space="preserve">and </w:t>
            </w:r>
            <w:r w:rsidR="00DF2864">
              <w:t>provides</w:t>
            </w:r>
            <w:r w:rsidRPr="00192BE9">
              <w:t xml:space="preserve"> examples of ecosystem restoration projects.</w:t>
            </w:r>
          </w:p>
        </w:tc>
      </w:tr>
      <w:tr w:rsidR="006F7348" w14:paraId="393D41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1F1F7F2A" w14:textId="169B451D" w:rsidR="006F7348" w:rsidRDefault="006F7348" w:rsidP="006F7348">
            <w:pPr>
              <w:ind w:left="251"/>
            </w:pPr>
            <w:r w:rsidRPr="00192BE9">
              <w:t>The Human Population</w:t>
            </w:r>
          </w:p>
        </w:tc>
        <w:tc>
          <w:tcPr>
            <w:tcW w:w="6385" w:type="dxa"/>
          </w:tcPr>
          <w:p w14:paraId="165E4301" w14:textId="20109A60"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Explain</w:t>
            </w:r>
            <w:r w:rsidR="00EC2860">
              <w:t>s</w:t>
            </w:r>
            <w:r w:rsidRPr="00192BE9">
              <w:t xml:space="preserve"> how humans, like other organisms, are subject to natural laws and ecological processes. Explain</w:t>
            </w:r>
            <w:r w:rsidR="00EC2860">
              <w:t>s</w:t>
            </w:r>
            <w:r w:rsidRPr="00192BE9">
              <w:t xml:space="preserve"> the relationship between income and fertility in countries around the world. Describe</w:t>
            </w:r>
            <w:r w:rsidR="00EC2860">
              <w:t>s</w:t>
            </w:r>
            <w:r w:rsidRPr="00192BE9">
              <w:t xml:space="preserve"> the likely outcome of unlimited population growth and the unlimited use of natural resources. Explain</w:t>
            </w:r>
            <w:r w:rsidR="00EC2860">
              <w:t>s</w:t>
            </w:r>
            <w:r w:rsidRPr="00192BE9">
              <w:t xml:space="preserve"> how age structure, population momentum, and the demographic transition help social scientists understand populations and predict future population trends.</w:t>
            </w:r>
          </w:p>
        </w:tc>
      </w:tr>
      <w:tr w:rsidR="006F7348" w14:paraId="54E9C470"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018B164" w14:textId="5349F4E6" w:rsidR="006F7348" w:rsidRDefault="006F7348" w:rsidP="006F7348">
            <w:pPr>
              <w:ind w:left="251"/>
            </w:pPr>
            <w:r w:rsidRPr="00192BE9">
              <w:t>Population and Development</w:t>
            </w:r>
          </w:p>
        </w:tc>
        <w:tc>
          <w:tcPr>
            <w:tcW w:w="6385" w:type="dxa"/>
          </w:tcPr>
          <w:p w14:paraId="2E5A2FD5" w14:textId="0E23FB86"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Describe</w:t>
            </w:r>
            <w:r w:rsidR="00013D41">
              <w:t>s</w:t>
            </w:r>
            <w:r w:rsidRPr="00192BE9">
              <w:t xml:space="preserve"> the main schools of thought about what causes the demographic transition. Explain</w:t>
            </w:r>
            <w:r w:rsidR="00013D41">
              <w:t>s</w:t>
            </w:r>
            <w:r w:rsidRPr="00192BE9">
              <w:t xml:space="preserve"> how development, fertility, and environmental health relate to each other. </w:t>
            </w:r>
            <w:r w:rsidR="00A36E49">
              <w:t>Discusses</w:t>
            </w:r>
            <w:r w:rsidRPr="00192BE9">
              <w:t xml:space="preserve"> the Millennium Development Goals and the move to the Sustainable Development Goals. Describe</w:t>
            </w:r>
            <w:r w:rsidR="00A36E49">
              <w:t>s</w:t>
            </w:r>
            <w:r w:rsidRPr="00192BE9">
              <w:t xml:space="preserve"> how development can reduce fertility but also increase environmental stressors. Identif</w:t>
            </w:r>
            <w:r w:rsidR="00A36E49">
              <w:t>ies</w:t>
            </w:r>
            <w:r w:rsidRPr="00192BE9">
              <w:t xml:space="preserve"> the five components of social modernization that countries focus on to achieve lower fertility rates.</w:t>
            </w:r>
          </w:p>
        </w:tc>
      </w:tr>
      <w:tr w:rsidR="006F7348" w14:paraId="5519D67A"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B66DD44" w14:textId="2725E26D" w:rsidR="006F7348" w:rsidRDefault="006F7348" w:rsidP="006F7348">
            <w:pPr>
              <w:ind w:left="251"/>
            </w:pPr>
            <w:r w:rsidRPr="00192BE9">
              <w:t>Water: Hydrologic Cycle and Human Use</w:t>
            </w:r>
          </w:p>
        </w:tc>
        <w:tc>
          <w:tcPr>
            <w:tcW w:w="6385" w:type="dxa"/>
          </w:tcPr>
          <w:p w14:paraId="74434E25" w14:textId="6A65A762"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Describe</w:t>
            </w:r>
            <w:r w:rsidR="00907316">
              <w:t>s</w:t>
            </w:r>
            <w:r w:rsidRPr="00192BE9">
              <w:t xml:space="preserve"> the unique properties that make water so vital, the differences in water availability in different societies, and conflicts over availability of clean water. Explain</w:t>
            </w:r>
            <w:r w:rsidR="00907316">
              <w:t>s</w:t>
            </w:r>
            <w:r w:rsidRPr="00192BE9">
              <w:t xml:space="preserve"> the movement of water through the hydrologic cycle and human impacts on the cycle. Describe</w:t>
            </w:r>
            <w:r w:rsidR="00907316">
              <w:t>s</w:t>
            </w:r>
            <w:r w:rsidRPr="00192BE9">
              <w:t xml:space="preserve"> the ways humans try to provide clean freshwater and some of their outcomes. Describe</w:t>
            </w:r>
            <w:r w:rsidR="00907316">
              <w:t>s</w:t>
            </w:r>
            <w:r w:rsidRPr="00192BE9">
              <w:t xml:space="preserve"> options for meeting rising demands for water, new innovations in water science and technology, and public policies for water in a water-scarce world.</w:t>
            </w:r>
          </w:p>
        </w:tc>
      </w:tr>
      <w:tr w:rsidR="006F7348" w14:paraId="4D5887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2DC539DA" w14:textId="7A6D4BA9" w:rsidR="006F7348" w:rsidRDefault="006F7348" w:rsidP="006F7348">
            <w:pPr>
              <w:ind w:left="251"/>
            </w:pPr>
            <w:r w:rsidRPr="00192BE9">
              <w:lastRenderedPageBreak/>
              <w:t>Soil: The Foundation for Land Ecosystems</w:t>
            </w:r>
          </w:p>
        </w:tc>
        <w:tc>
          <w:tcPr>
            <w:tcW w:w="6385" w:type="dxa"/>
          </w:tcPr>
          <w:p w14:paraId="024933E5" w14:textId="326674E2"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Describe</w:t>
            </w:r>
            <w:r w:rsidR="00907316">
              <w:t>s</w:t>
            </w:r>
            <w:r w:rsidRPr="00192BE9">
              <w:t xml:space="preserve"> the basic parts of soil, soil communities, and soil profiles. Explain</w:t>
            </w:r>
            <w:r w:rsidR="00907316">
              <w:t>s</w:t>
            </w:r>
            <w:r w:rsidRPr="00192BE9">
              <w:t xml:space="preserve"> how soils are degraded by human activities. Describe</w:t>
            </w:r>
            <w:r w:rsidR="00182CB9">
              <w:t>s</w:t>
            </w:r>
            <w:r w:rsidRPr="00192BE9">
              <w:t xml:space="preserve"> how soil conservation requires action at different levels, from individual landholders through national and international public policy.</w:t>
            </w:r>
          </w:p>
        </w:tc>
      </w:tr>
      <w:tr w:rsidR="006F7348" w14:paraId="363936FE"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F3A5DCE" w14:textId="36271C49" w:rsidR="006F7348" w:rsidRDefault="006F7348" w:rsidP="006F7348">
            <w:pPr>
              <w:ind w:left="251"/>
            </w:pPr>
            <w:r w:rsidRPr="00192BE9">
              <w:t>The Production and Distribution of Food</w:t>
            </w:r>
          </w:p>
        </w:tc>
        <w:tc>
          <w:tcPr>
            <w:tcW w:w="6385" w:type="dxa"/>
          </w:tcPr>
          <w:p w14:paraId="5D2D844C" w14:textId="256673EE"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Explain</w:t>
            </w:r>
            <w:r w:rsidR="00182CB9">
              <w:t>s</w:t>
            </w:r>
            <w:r w:rsidRPr="00192BE9">
              <w:t xml:space="preserve"> how the Industrial Revolution and the Green Revolution radically transformed the practice of farming; compare</w:t>
            </w:r>
            <w:r w:rsidR="00182CB9">
              <w:t>s</w:t>
            </w:r>
            <w:r w:rsidRPr="00192BE9">
              <w:t xml:space="preserve"> them to subsistence agriculture and animal farming. Describe</w:t>
            </w:r>
            <w:r w:rsidR="00182CB9">
              <w:t>s</w:t>
            </w:r>
            <w:r w:rsidRPr="00192BE9">
              <w:t xml:space="preserve"> genetically modified crops and identif</w:t>
            </w:r>
            <w:r w:rsidR="00182CB9">
              <w:t>ies</w:t>
            </w:r>
            <w:r w:rsidRPr="00192BE9">
              <w:t xml:space="preserve"> their advantages and disadvantages. Distinguish</w:t>
            </w:r>
            <w:r w:rsidR="00182CB9">
              <w:t>es</w:t>
            </w:r>
            <w:r w:rsidRPr="00192BE9">
              <w:t xml:space="preserve"> between hunger and malnutrition. Identif</w:t>
            </w:r>
            <w:r w:rsidR="00DA7E7E">
              <w:t>ies</w:t>
            </w:r>
            <w:r w:rsidRPr="00192BE9">
              <w:t xml:space="preserve"> the causes of food shortages. Describe</w:t>
            </w:r>
            <w:r w:rsidR="00DA7E7E">
              <w:t>s</w:t>
            </w:r>
            <w:r w:rsidRPr="00192BE9">
              <w:t xml:space="preserve"> new trends in agriculture; identif</w:t>
            </w:r>
            <w:r w:rsidR="00DA7E7E">
              <w:t>ies</w:t>
            </w:r>
            <w:r w:rsidRPr="00192BE9">
              <w:t xml:space="preserve"> the key elements of sustainable agricultural systems.</w:t>
            </w:r>
          </w:p>
        </w:tc>
      </w:tr>
      <w:tr w:rsidR="006F7348" w14:paraId="5F56D8DB"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42CF3C6" w14:textId="7330E27E" w:rsidR="006F7348" w:rsidRDefault="006F7348" w:rsidP="006F7348">
            <w:pPr>
              <w:ind w:left="251"/>
            </w:pPr>
            <w:r w:rsidRPr="00192BE9">
              <w:t>Pests and Pest Control</w:t>
            </w:r>
          </w:p>
        </w:tc>
        <w:tc>
          <w:tcPr>
            <w:tcW w:w="6385" w:type="dxa"/>
          </w:tcPr>
          <w:p w14:paraId="5B90DC0D" w14:textId="43D01613"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Define</w:t>
            </w:r>
            <w:r w:rsidR="000A54DF">
              <w:t>s</w:t>
            </w:r>
            <w:r w:rsidRPr="00192BE9">
              <w:t xml:space="preserve"> the major groups of pests and the different methods we use to control them. Explain</w:t>
            </w:r>
            <w:r w:rsidR="00622AC8">
              <w:t>s</w:t>
            </w:r>
            <w:r w:rsidRPr="00192BE9">
              <w:t xml:space="preserve"> the serious problems that accompany overuse of new and more effective chemical pesticides such as DDT. Explain</w:t>
            </w:r>
            <w:r w:rsidR="00B70F86">
              <w:t>s</w:t>
            </w:r>
            <w:r w:rsidRPr="00192BE9">
              <w:t xml:space="preserve"> the main principles and give</w:t>
            </w:r>
            <w:r w:rsidR="00B70F86">
              <w:t>s</w:t>
            </w:r>
            <w:r w:rsidRPr="00192BE9">
              <w:t xml:space="preserve"> examples of the integrated pest management approach to reducing the use of pesticides. List</w:t>
            </w:r>
            <w:r w:rsidR="00B70F86">
              <w:t>s</w:t>
            </w:r>
            <w:r w:rsidRPr="00192BE9">
              <w:t xml:space="preserve"> and describe</w:t>
            </w:r>
            <w:r w:rsidR="00B70F86">
              <w:t>s</w:t>
            </w:r>
            <w:r w:rsidRPr="00192BE9">
              <w:t xml:space="preserve"> the federal and international policies for controlling pests and those that regulate the use of pesticides.</w:t>
            </w:r>
          </w:p>
        </w:tc>
      </w:tr>
      <w:tr w:rsidR="006F7348" w14:paraId="736C94F9"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DBC09B4" w14:textId="3E403F0B" w:rsidR="006F7348" w:rsidRDefault="006F7348" w:rsidP="006F7348">
            <w:pPr>
              <w:ind w:left="251"/>
            </w:pPr>
            <w:r w:rsidRPr="00192BE9">
              <w:t>Energy from Fossil Fuels</w:t>
            </w:r>
          </w:p>
        </w:tc>
        <w:tc>
          <w:tcPr>
            <w:tcW w:w="6385" w:type="dxa"/>
          </w:tcPr>
          <w:p w14:paraId="41CD135C" w14:textId="63DF420B" w:rsidR="006F7348" w:rsidRDefault="006F7348" w:rsidP="006F7348">
            <w:pPr>
              <w:cnfStyle w:val="000000000000" w:firstRow="0" w:lastRow="0" w:firstColumn="0" w:lastColumn="0" w:oddVBand="0" w:evenVBand="0" w:oddHBand="0" w:evenHBand="0" w:firstRowFirstColumn="0" w:firstRowLastColumn="0" w:lastRowFirstColumn="0" w:lastRowLastColumn="0"/>
            </w:pPr>
            <w:r w:rsidRPr="00192BE9">
              <w:t>Explain</w:t>
            </w:r>
            <w:r w:rsidR="00B70F86">
              <w:t>s</w:t>
            </w:r>
            <w:r w:rsidRPr="00192BE9">
              <w:t xml:space="preserve"> the three kinds of fossil fuel and evaluate</w:t>
            </w:r>
            <w:r w:rsidR="00B70F86">
              <w:t>s</w:t>
            </w:r>
            <w:r w:rsidRPr="00192BE9">
              <w:t xml:space="preserve"> the changes in crude oil sources and prices and their impact on the U.S. economy, and examine</w:t>
            </w:r>
            <w:r w:rsidR="00B70F86">
              <w:t>s</w:t>
            </w:r>
            <w:r w:rsidRPr="00192BE9">
              <w:t xml:space="preserve"> the concept of peak oil and its consequences. Describe</w:t>
            </w:r>
            <w:r w:rsidR="00B70F86">
              <w:t>s</w:t>
            </w:r>
            <w:r w:rsidRPr="00192BE9">
              <w:t xml:space="preserve"> the versatility of natural gas and explain</w:t>
            </w:r>
            <w:r w:rsidR="00B70F86">
              <w:t>s</w:t>
            </w:r>
            <w:r w:rsidRPr="00192BE9">
              <w:t xml:space="preserve"> how it can be extracted from shale. Discuss</w:t>
            </w:r>
            <w:r w:rsidR="00B70F86">
              <w:t>es</w:t>
            </w:r>
            <w:r w:rsidRPr="00192BE9">
              <w:t xml:space="preserve"> the advantages and disadvantages of coal as a power source, and evaluate</w:t>
            </w:r>
            <w:r w:rsidR="003376B7">
              <w:t>s</w:t>
            </w:r>
            <w:r w:rsidRPr="00192BE9">
              <w:t xml:space="preserve"> the methods used to mine coal. Compare</w:t>
            </w:r>
            <w:r w:rsidR="003376B7">
              <w:t>s</w:t>
            </w:r>
            <w:r w:rsidRPr="00192BE9">
              <w:t xml:space="preserve"> supply-side and demand-side energy policies that have been developed in recent years.</w:t>
            </w:r>
          </w:p>
        </w:tc>
      </w:tr>
      <w:tr w:rsidR="006F7348" w14:paraId="0A7CCFFB"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2878B9D5" w14:textId="152DC57E" w:rsidR="006F7348" w:rsidRPr="003C475F" w:rsidRDefault="006F7348" w:rsidP="006F7348">
            <w:pPr>
              <w:ind w:left="251"/>
            </w:pPr>
            <w:r w:rsidRPr="00192BE9">
              <w:t>Nuclear Power</w:t>
            </w:r>
          </w:p>
        </w:tc>
        <w:tc>
          <w:tcPr>
            <w:tcW w:w="6385" w:type="dxa"/>
          </w:tcPr>
          <w:p w14:paraId="3A7DE311" w14:textId="05F56559" w:rsidR="006F7348" w:rsidRPr="003C475F" w:rsidRDefault="006F7348" w:rsidP="006F7348">
            <w:pPr>
              <w:cnfStyle w:val="000000000000" w:firstRow="0" w:lastRow="0" w:firstColumn="0" w:lastColumn="0" w:oddVBand="0" w:evenVBand="0" w:oddHBand="0" w:evenHBand="0" w:firstRowFirstColumn="0" w:firstRowLastColumn="0" w:lastRowFirstColumn="0" w:lastRowLastColumn="0"/>
            </w:pPr>
            <w:r w:rsidRPr="00192BE9">
              <w:t>Review</w:t>
            </w:r>
            <w:r w:rsidR="003376B7">
              <w:t>s</w:t>
            </w:r>
            <w:r w:rsidRPr="00192BE9">
              <w:t xml:space="preserve"> the basics of nuclear power and compare</w:t>
            </w:r>
            <w:r w:rsidR="003376B7">
              <w:t>s</w:t>
            </w:r>
            <w:r w:rsidRPr="00192BE9">
              <w:t xml:space="preserve"> the benefits and disadvantages of nuclear power with those of coal power. Summarize</w:t>
            </w:r>
            <w:r w:rsidR="003376B7">
              <w:t>s</w:t>
            </w:r>
            <w:r w:rsidRPr="00192BE9">
              <w:t xml:space="preserve"> the essentials of radioactivity and nuclear wastes; evaluate</w:t>
            </w:r>
            <w:r w:rsidR="003376B7">
              <w:t>s</w:t>
            </w:r>
            <w:r w:rsidRPr="00192BE9">
              <w:t xml:space="preserve"> nuclear power in the light of high-level wastes, nuclear accidents, and economic considerations. Describe</w:t>
            </w:r>
            <w:r w:rsidR="003376B7">
              <w:t>s</w:t>
            </w:r>
            <w:r w:rsidRPr="00192BE9">
              <w:t xml:space="preserve"> how fast-neutron reactors are used to reprocess spent nuclear fuel and assess</w:t>
            </w:r>
            <w:r w:rsidR="003376B7">
              <w:t>es</w:t>
            </w:r>
            <w:r w:rsidRPr="00192BE9">
              <w:t xml:space="preserve"> the potential for fusion as a source of energy. Examine</w:t>
            </w:r>
            <w:r w:rsidR="003376B7">
              <w:t>s</w:t>
            </w:r>
            <w:r w:rsidRPr="00192BE9">
              <w:t xml:space="preserve"> the impact of global climate change on the nuclear energy option.</w:t>
            </w:r>
          </w:p>
        </w:tc>
      </w:tr>
      <w:tr w:rsidR="006F7348" w14:paraId="2CEBB5CA"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FA7537B" w14:textId="0DB4C3EA" w:rsidR="006F7348" w:rsidRPr="003C475F" w:rsidRDefault="006F7348" w:rsidP="006F7348">
            <w:pPr>
              <w:ind w:left="251"/>
            </w:pPr>
            <w:r w:rsidRPr="00192BE9">
              <w:t>Renewable Energy</w:t>
            </w:r>
          </w:p>
        </w:tc>
        <w:tc>
          <w:tcPr>
            <w:tcW w:w="6385" w:type="dxa"/>
          </w:tcPr>
          <w:p w14:paraId="313A8421" w14:textId="42A446EE" w:rsidR="006F7348" w:rsidRPr="003C475F" w:rsidRDefault="006F7348" w:rsidP="006F7348">
            <w:pPr>
              <w:cnfStyle w:val="000000000000" w:firstRow="0" w:lastRow="0" w:firstColumn="0" w:lastColumn="0" w:oddVBand="0" w:evenVBand="0" w:oddHBand="0" w:evenHBand="0" w:firstRowFirstColumn="0" w:firstRowLastColumn="0" w:lastRowFirstColumn="0" w:lastRowLastColumn="0"/>
            </w:pPr>
            <w:r w:rsidRPr="00192BE9">
              <w:t>Explain</w:t>
            </w:r>
            <w:r w:rsidR="003376B7">
              <w:t>s</w:t>
            </w:r>
            <w:r w:rsidRPr="00192BE9">
              <w:t xml:space="preserve"> why it is essential to replace fossil fuels with renewable energy sources. Describe</w:t>
            </w:r>
            <w:r w:rsidR="003376B7">
              <w:t>s</w:t>
            </w:r>
            <w:r w:rsidRPr="00192BE9">
              <w:t xml:space="preserve"> how much solar energy reaches Earth and explain</w:t>
            </w:r>
            <w:r w:rsidR="003376B7">
              <w:t>s</w:t>
            </w:r>
            <w:r w:rsidRPr="00192BE9">
              <w:t xml:space="preserve"> how this energy is being used to heat water and produce electricity. Summarize</w:t>
            </w:r>
            <w:r w:rsidR="003376B7">
              <w:t>s</w:t>
            </w:r>
            <w:r w:rsidRPr="00192BE9">
              <w:t xml:space="preserve"> what is being done to employ hydropower, wind power, and biomass energy to meet energy needs. Evaluate</w:t>
            </w:r>
            <w:r w:rsidR="003376B7">
              <w:t>s</w:t>
            </w:r>
            <w:r w:rsidRPr="00192BE9">
              <w:t xml:space="preserve"> the potential for geothermal energy, tidal power, and wave power to meet current and future energy needs. Explain</w:t>
            </w:r>
            <w:r w:rsidR="003376B7">
              <w:t>s</w:t>
            </w:r>
            <w:r w:rsidRPr="00192BE9">
              <w:t xml:space="preserve"> how national and international energy policies encourage both renewable energy and energy conservation.</w:t>
            </w:r>
          </w:p>
        </w:tc>
      </w:tr>
      <w:tr w:rsidR="006F7348" w14:paraId="3EDBDCA4"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D9D8FF3" w14:textId="479808A8" w:rsidR="006F7348" w:rsidRPr="003C475F" w:rsidRDefault="006F7348" w:rsidP="006F7348">
            <w:pPr>
              <w:ind w:left="251"/>
            </w:pPr>
            <w:r w:rsidRPr="00192BE9">
              <w:lastRenderedPageBreak/>
              <w:t>Environmental Hazards and Human Health</w:t>
            </w:r>
          </w:p>
        </w:tc>
        <w:tc>
          <w:tcPr>
            <w:tcW w:w="6385" w:type="dxa"/>
          </w:tcPr>
          <w:p w14:paraId="30A82D3A" w14:textId="08A4801E" w:rsidR="006F7348" w:rsidRPr="003C475F" w:rsidRDefault="006F7348" w:rsidP="006F7348">
            <w:pPr>
              <w:cnfStyle w:val="000000000000" w:firstRow="0" w:lastRow="0" w:firstColumn="0" w:lastColumn="0" w:oddVBand="0" w:evenVBand="0" w:oddHBand="0" w:evenHBand="0" w:firstRowFirstColumn="0" w:firstRowLastColumn="0" w:lastRowFirstColumn="0" w:lastRowLastColumn="0"/>
            </w:pPr>
            <w:r w:rsidRPr="00192BE9">
              <w:t>Describe</w:t>
            </w:r>
            <w:r w:rsidR="003376B7">
              <w:t>s</w:t>
            </w:r>
            <w:r w:rsidRPr="00192BE9">
              <w:t xml:space="preserve"> three types of hazards—biological, physical, and chemical—and compare</w:t>
            </w:r>
            <w:r w:rsidR="003376B7">
              <w:t>s</w:t>
            </w:r>
            <w:r w:rsidRPr="00192BE9">
              <w:t xml:space="preserve"> them with cultural hazards. Explain</w:t>
            </w:r>
            <w:r w:rsidR="003376B7">
              <w:t>s</w:t>
            </w:r>
            <w:r w:rsidRPr="00192BE9">
              <w:t xml:space="preserve"> how risk factors including exposure to diseases, toxic chemicals, and physical hazards, as well as poverty and climate change, lead to human mortality. Describe</w:t>
            </w:r>
            <w:r w:rsidR="003376B7">
              <w:t>s</w:t>
            </w:r>
            <w:r w:rsidRPr="00192BE9">
              <w:t xml:space="preserve"> the process of risk assessment and management as the EPA and the World Health Organization apply it to human health. Identif</w:t>
            </w:r>
            <w:r w:rsidR="003376B7">
              <w:t>ies</w:t>
            </w:r>
            <w:r w:rsidRPr="00192BE9">
              <w:t xml:space="preserve"> the key elements that determine risk perception.</w:t>
            </w:r>
          </w:p>
        </w:tc>
      </w:tr>
      <w:tr w:rsidR="006F7348" w14:paraId="1837E0C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7E62425" w14:textId="09F7A960" w:rsidR="006F7348" w:rsidRPr="003C475F" w:rsidRDefault="006F7348" w:rsidP="006F7348">
            <w:pPr>
              <w:ind w:left="251"/>
            </w:pPr>
            <w:r w:rsidRPr="00192BE9">
              <w:t>Global Climate Change</w:t>
            </w:r>
          </w:p>
        </w:tc>
        <w:tc>
          <w:tcPr>
            <w:tcW w:w="6385" w:type="dxa"/>
          </w:tcPr>
          <w:p w14:paraId="53059527" w14:textId="577195A2" w:rsidR="006F7348" w:rsidRPr="003C475F" w:rsidRDefault="006F7348" w:rsidP="006F7348">
            <w:pPr>
              <w:cnfStyle w:val="000000000000" w:firstRow="0" w:lastRow="0" w:firstColumn="0" w:lastColumn="0" w:oddVBand="0" w:evenVBand="0" w:oddHBand="0" w:evenHBand="0" w:firstRowFirstColumn="0" w:firstRowLastColumn="0" w:lastRowFirstColumn="0" w:lastRowLastColumn="0"/>
            </w:pPr>
            <w:r w:rsidRPr="00192BE9">
              <w:t>Summarize</w:t>
            </w:r>
            <w:r w:rsidR="003376B7">
              <w:t>s</w:t>
            </w:r>
            <w:r w:rsidRPr="00192BE9">
              <w:t xml:space="preserve"> the evidence that human activities are causing climate change; evaluate</w:t>
            </w:r>
            <w:r w:rsidR="003376B7">
              <w:t>s</w:t>
            </w:r>
            <w:r w:rsidRPr="00192BE9">
              <w:t xml:space="preserve"> the various greenhouse gases and their effects on present and future climates. Explain</w:t>
            </w:r>
            <w:r w:rsidR="003376B7">
              <w:t>s</w:t>
            </w:r>
            <w:r w:rsidRPr="00192BE9">
              <w:t xml:space="preserve"> how climatologists model Earth’s climate and predict future outcomes; describe</w:t>
            </w:r>
            <w:r w:rsidR="003376B7">
              <w:t>s</w:t>
            </w:r>
            <w:r w:rsidRPr="00192BE9">
              <w:t xml:space="preserve"> the impact of climate change on natural and human systems. Explain</w:t>
            </w:r>
            <w:r w:rsidR="003376B7">
              <w:t>s</w:t>
            </w:r>
            <w:r w:rsidRPr="00192BE9">
              <w:t xml:space="preserve"> why climate change is controversial; describe</w:t>
            </w:r>
            <w:r w:rsidR="003376B7">
              <w:t>s</w:t>
            </w:r>
            <w:r w:rsidRPr="00192BE9">
              <w:t xml:space="preserve"> the ethical principles underlying the need for a response to climate change. Define</w:t>
            </w:r>
            <w:r w:rsidR="003376B7">
              <w:t>s</w:t>
            </w:r>
            <w:r w:rsidRPr="00192BE9">
              <w:t xml:space="preserve"> mitigation, adaptation, and geoengineering.</w:t>
            </w:r>
          </w:p>
        </w:tc>
      </w:tr>
      <w:tr w:rsidR="006F7348" w14:paraId="0D6171AD"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02AD8366" w14:textId="3CE3AC8E" w:rsidR="006F7348" w:rsidRPr="003C475F" w:rsidRDefault="006F7348" w:rsidP="006F7348">
            <w:pPr>
              <w:ind w:left="251"/>
            </w:pPr>
            <w:r w:rsidRPr="00192BE9">
              <w:t>Atmospheric Pollution</w:t>
            </w:r>
          </w:p>
        </w:tc>
        <w:tc>
          <w:tcPr>
            <w:tcW w:w="6385" w:type="dxa"/>
          </w:tcPr>
          <w:p w14:paraId="55969866" w14:textId="4B54BD50" w:rsidR="006F7348" w:rsidRPr="003C475F" w:rsidRDefault="006F7348" w:rsidP="006F7348">
            <w:pPr>
              <w:cnfStyle w:val="000000000000" w:firstRow="0" w:lastRow="0" w:firstColumn="0" w:lastColumn="0" w:oddVBand="0" w:evenVBand="0" w:oddHBand="0" w:evenHBand="0" w:firstRowFirstColumn="0" w:firstRowLastColumn="0" w:lastRowFirstColumn="0" w:lastRowLastColumn="0"/>
            </w:pPr>
            <w:r w:rsidRPr="00192BE9">
              <w:t>Describe</w:t>
            </w:r>
            <w:r w:rsidR="003376B7">
              <w:t>s</w:t>
            </w:r>
            <w:r w:rsidRPr="00192BE9">
              <w:t xml:space="preserve"> normal atmospheric cleansing and the formation of industrial and photochemical smog. Identif</w:t>
            </w:r>
            <w:r w:rsidR="003376B7">
              <w:t>ies</w:t>
            </w:r>
            <w:r w:rsidRPr="00192BE9">
              <w:t xml:space="preserve"> global trends in air pollution. Identif</w:t>
            </w:r>
            <w:r w:rsidR="003376B7">
              <w:t>ies</w:t>
            </w:r>
            <w:r w:rsidRPr="00192BE9">
              <w:t xml:space="preserve"> the variety and sources of the major air pollutants and classif</w:t>
            </w:r>
            <w:r w:rsidR="003376B7">
              <w:t>ies</w:t>
            </w:r>
            <w:r w:rsidRPr="00192BE9">
              <w:t xml:space="preserve"> them as primary or secondary pollutants. Explain</w:t>
            </w:r>
            <w:r w:rsidR="003376B7">
              <w:t>s</w:t>
            </w:r>
            <w:r w:rsidRPr="00192BE9">
              <w:t xml:space="preserve"> how U.S. laws such as the Clean Air Act have helped reduce air pollution; describe</w:t>
            </w:r>
            <w:r w:rsidR="003376B7">
              <w:t>s</w:t>
            </w:r>
            <w:r w:rsidRPr="00192BE9">
              <w:t xml:space="preserve"> the role of the Environmental Protection Agency in controlling air pollution. Assess</w:t>
            </w:r>
            <w:r w:rsidR="003376B7">
              <w:t>es</w:t>
            </w:r>
            <w:r w:rsidRPr="00192BE9">
              <w:t xml:space="preserve"> how chlorofluorocarbons and other gases have been implicated in the destruction of stratospheric ozone.</w:t>
            </w:r>
          </w:p>
        </w:tc>
      </w:tr>
      <w:tr w:rsidR="006F7348" w14:paraId="642EDBD7"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EAD2B5F" w14:textId="4049AEB8" w:rsidR="006F7348" w:rsidRPr="003C475F" w:rsidRDefault="006F7348" w:rsidP="006F7348">
            <w:pPr>
              <w:ind w:left="251"/>
            </w:pPr>
            <w:r w:rsidRPr="00192BE9">
              <w:t>Water Pollution and Its Prevention</w:t>
            </w:r>
          </w:p>
        </w:tc>
        <w:tc>
          <w:tcPr>
            <w:tcW w:w="6385" w:type="dxa"/>
          </w:tcPr>
          <w:p w14:paraId="5465E5D4" w14:textId="409881BF" w:rsidR="006F7348" w:rsidRPr="003C475F" w:rsidRDefault="006F7348" w:rsidP="006F7348">
            <w:pPr>
              <w:cnfStyle w:val="000000000000" w:firstRow="0" w:lastRow="0" w:firstColumn="0" w:lastColumn="0" w:oddVBand="0" w:evenVBand="0" w:oddHBand="0" w:evenHBand="0" w:firstRowFirstColumn="0" w:firstRowLastColumn="0" w:lastRowFirstColumn="0" w:lastRowLastColumn="0"/>
            </w:pPr>
            <w:r w:rsidRPr="00192BE9">
              <w:t>Summarize</w:t>
            </w:r>
            <w:r w:rsidR="003376B7">
              <w:t>s</w:t>
            </w:r>
            <w:r w:rsidRPr="00192BE9">
              <w:t xml:space="preserve"> the impacts that disease organisms, organic wastes, chemical pollutants, sediments, and nutrients have on human health and the environment. Examine</w:t>
            </w:r>
            <w:r w:rsidR="003376B7">
              <w:t>s</w:t>
            </w:r>
            <w:r w:rsidRPr="00192BE9">
              <w:t xml:space="preserve"> the methods used by cities and towns to deal with human and domestic wastes. Describe</w:t>
            </w:r>
            <w:r w:rsidR="003376B7">
              <w:t>s</w:t>
            </w:r>
            <w:r w:rsidRPr="00192BE9">
              <w:t xml:space="preserve"> the undesirable changes that take place in aquatic ecosystems when nutrients are introduced. Explain</w:t>
            </w:r>
            <w:r w:rsidR="003376B7">
              <w:t>s</w:t>
            </w:r>
            <w:r w:rsidRPr="00192BE9">
              <w:t xml:space="preserve"> how the Clean Water Act and its amendments are used by the EPA and states to manage U.S. water pollution.</w:t>
            </w:r>
          </w:p>
        </w:tc>
      </w:tr>
      <w:tr w:rsidR="006F7348" w14:paraId="1DF8FC49"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D98FEE7" w14:textId="2873392A" w:rsidR="006F7348" w:rsidRPr="003C475F" w:rsidRDefault="006F7348" w:rsidP="006F7348">
            <w:pPr>
              <w:ind w:left="251"/>
            </w:pPr>
            <w:r w:rsidRPr="00192BE9">
              <w:t>Municipal Solid Waste: Disposal and Recovery</w:t>
            </w:r>
          </w:p>
        </w:tc>
        <w:tc>
          <w:tcPr>
            <w:tcW w:w="6385" w:type="dxa"/>
          </w:tcPr>
          <w:p w14:paraId="7177DA27" w14:textId="2E759219" w:rsidR="006F7348" w:rsidRPr="003C475F" w:rsidRDefault="006F7348" w:rsidP="006F7348">
            <w:pPr>
              <w:cnfStyle w:val="000000000000" w:firstRow="0" w:lastRow="0" w:firstColumn="0" w:lastColumn="0" w:oddVBand="0" w:evenVBand="0" w:oddHBand="0" w:evenHBand="0" w:firstRowFirstColumn="0" w:firstRowLastColumn="0" w:lastRowFirstColumn="0" w:lastRowLastColumn="0"/>
            </w:pPr>
            <w:r w:rsidRPr="00192BE9">
              <w:t>Describe</w:t>
            </w:r>
            <w:r w:rsidR="003376B7">
              <w:t>s</w:t>
            </w:r>
            <w:r w:rsidRPr="00192BE9">
              <w:t xml:space="preserve"> global trends in the production of municipal solid waste (MSW); identif</w:t>
            </w:r>
            <w:r w:rsidR="003376B7">
              <w:t>ies</w:t>
            </w:r>
            <w:r w:rsidRPr="00192BE9">
              <w:t xml:space="preserve"> the problems caused by disposable products and escaped trash. Describe</w:t>
            </w:r>
            <w:r w:rsidR="003376B7">
              <w:t>s</w:t>
            </w:r>
            <w:r w:rsidRPr="00192BE9">
              <w:t xml:space="preserve"> the advantages and disadvantages of the disposal of MSW in landfills and combustion facilities. Evaluate</w:t>
            </w:r>
            <w:r w:rsidR="003376B7">
              <w:t>s</w:t>
            </w:r>
            <w:r w:rsidRPr="00192BE9">
              <w:t xml:space="preserve"> these two options for reducing the amount of MSW that must be managed. Compare</w:t>
            </w:r>
            <w:r w:rsidR="003376B7">
              <w:t>s</w:t>
            </w:r>
            <w:r w:rsidRPr="00192BE9">
              <w:t xml:space="preserve"> the roles of U.S. federal, state, and local governments in the management of MSW. Explain</w:t>
            </w:r>
            <w:r w:rsidR="003376B7">
              <w:t>s</w:t>
            </w:r>
            <w:r w:rsidRPr="00192BE9">
              <w:t xml:space="preserve"> how international cooperation can help resolve global issues related to waste.</w:t>
            </w:r>
          </w:p>
        </w:tc>
      </w:tr>
      <w:tr w:rsidR="006F7348" w14:paraId="3FCA2E1A"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5B82CE9" w14:textId="205DE1CB" w:rsidR="006F7348" w:rsidRPr="003C475F" w:rsidRDefault="006F7348" w:rsidP="006F7348">
            <w:pPr>
              <w:ind w:left="251"/>
            </w:pPr>
            <w:r w:rsidRPr="00192BE9">
              <w:lastRenderedPageBreak/>
              <w:t>Hazardous Chemicals: Pollution and Prevention</w:t>
            </w:r>
          </w:p>
        </w:tc>
        <w:tc>
          <w:tcPr>
            <w:tcW w:w="6385" w:type="dxa"/>
          </w:tcPr>
          <w:p w14:paraId="659FD563" w14:textId="3532DFD4" w:rsidR="006F7348" w:rsidRPr="003C475F" w:rsidRDefault="006F7348" w:rsidP="006F7348">
            <w:pPr>
              <w:cnfStyle w:val="000000000000" w:firstRow="0" w:lastRow="0" w:firstColumn="0" w:lastColumn="0" w:oddVBand="0" w:evenVBand="0" w:oddHBand="0" w:evenHBand="0" w:firstRowFirstColumn="0" w:firstRowLastColumn="0" w:lastRowFirstColumn="0" w:lastRowLastColumn="0"/>
            </w:pPr>
            <w:r w:rsidRPr="00192BE9">
              <w:t>Define</w:t>
            </w:r>
            <w:r w:rsidR="003376B7">
              <w:t>s</w:t>
            </w:r>
            <w:r w:rsidRPr="00192BE9">
              <w:t xml:space="preserve"> toxicology and explain</w:t>
            </w:r>
            <w:r w:rsidR="003376B7">
              <w:t>s</w:t>
            </w:r>
            <w:r w:rsidRPr="00192BE9">
              <w:t xml:space="preserve"> how it applies to many of the chemicals in use in our society; identif</w:t>
            </w:r>
            <w:r w:rsidR="003376B7">
              <w:t>ies</w:t>
            </w:r>
            <w:r w:rsidRPr="00192BE9">
              <w:t xml:space="preserve"> the two most toxic chemical groups in use and assess</w:t>
            </w:r>
            <w:r w:rsidR="003376B7">
              <w:t>es</w:t>
            </w:r>
            <w:r w:rsidRPr="00192BE9">
              <w:t xml:space="preserve"> their involvement in food chains. Review</w:t>
            </w:r>
            <w:r w:rsidR="003376B7">
              <w:t>s</w:t>
            </w:r>
            <w:r w:rsidRPr="00192BE9">
              <w:t xml:space="preserve"> the laws put in place to prevent illegal disposal of toxic wastes, reduce</w:t>
            </w:r>
            <w:r w:rsidR="003376B7">
              <w:t>s</w:t>
            </w:r>
            <w:r w:rsidRPr="00192BE9">
              <w:t xml:space="preserve"> accidents and accidental exposure, and evaluate</w:t>
            </w:r>
            <w:r w:rsidR="003376B7">
              <w:t>s</w:t>
            </w:r>
            <w:r w:rsidRPr="00192BE9">
              <w:t xml:space="preserve"> new chemicals. List</w:t>
            </w:r>
            <w:r w:rsidR="003376B7">
              <w:t>s</w:t>
            </w:r>
            <w:r w:rsidRPr="00192BE9">
              <w:t xml:space="preserve"> several international treaties that regulate hazardous wastes. Discuss</w:t>
            </w:r>
            <w:r w:rsidR="003376B7">
              <w:t>es</w:t>
            </w:r>
            <w:r w:rsidRPr="00192BE9">
              <w:t xml:space="preserve"> the issue of environmental justice and identif</w:t>
            </w:r>
            <w:r w:rsidR="003376B7">
              <w:t>ies</w:t>
            </w:r>
            <w:r w:rsidRPr="00192BE9">
              <w:t xml:space="preserve"> strategies that prevent toxic chemicals from being used.</w:t>
            </w:r>
          </w:p>
        </w:tc>
      </w:tr>
      <w:tr w:rsidR="006F7348" w14:paraId="3578B544"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65EB95A" w14:textId="7C98D56C" w:rsidR="006F7348" w:rsidRPr="003C475F" w:rsidRDefault="006F7348" w:rsidP="006F7348">
            <w:pPr>
              <w:ind w:left="251"/>
            </w:pPr>
            <w:r w:rsidRPr="00192BE9">
              <w:t>Sustainable Communities and Lifestyles</w:t>
            </w:r>
          </w:p>
        </w:tc>
        <w:tc>
          <w:tcPr>
            <w:tcW w:w="6385" w:type="dxa"/>
          </w:tcPr>
          <w:p w14:paraId="5AF99FEA" w14:textId="6554EA30" w:rsidR="006F7348" w:rsidRPr="003C475F" w:rsidRDefault="006F7348" w:rsidP="006F7348">
            <w:pPr>
              <w:cnfStyle w:val="000000000000" w:firstRow="0" w:lastRow="0" w:firstColumn="0" w:lastColumn="0" w:oddVBand="0" w:evenVBand="0" w:oddHBand="0" w:evenHBand="0" w:firstRowFirstColumn="0" w:firstRowLastColumn="0" w:lastRowFirstColumn="0" w:lastRowLastColumn="0"/>
            </w:pPr>
            <w:r w:rsidRPr="00192BE9">
              <w:t>Summarize</w:t>
            </w:r>
            <w:r w:rsidR="003376B7">
              <w:t>s</w:t>
            </w:r>
            <w:r w:rsidRPr="00192BE9">
              <w:t xml:space="preserve"> global trends in the growth of cities; describe</w:t>
            </w:r>
            <w:r w:rsidR="003376B7">
              <w:t>s</w:t>
            </w:r>
            <w:r w:rsidRPr="00192BE9">
              <w:t xml:space="preserve"> the advantages and disadvantages of urbanization; identif</w:t>
            </w:r>
            <w:r w:rsidR="003376B7">
              <w:t>ies</w:t>
            </w:r>
            <w:r w:rsidRPr="00192BE9">
              <w:t xml:space="preserve"> the factors that contribute to the growth of urban slums; explain</w:t>
            </w:r>
            <w:r w:rsidR="003376B7">
              <w:t>s</w:t>
            </w:r>
            <w:r w:rsidRPr="00192BE9">
              <w:t xml:space="preserve"> how urbanization affects rural areas. Describe</w:t>
            </w:r>
            <w:r w:rsidR="003376B7">
              <w:t>s</w:t>
            </w:r>
            <w:r w:rsidRPr="00192BE9">
              <w:t xml:space="preserve"> the connections among urban sprawl, car dependency, and highway construction; summarize</w:t>
            </w:r>
            <w:r w:rsidR="003376B7">
              <w:t>s</w:t>
            </w:r>
            <w:r w:rsidRPr="00192BE9">
              <w:t xml:space="preserve"> the factors leading to urban blight; explain</w:t>
            </w:r>
            <w:r w:rsidR="003376B7">
              <w:t>s</w:t>
            </w:r>
            <w:r w:rsidRPr="00192BE9">
              <w:t xml:space="preserve"> how urban sprawl affects the environment and public health. Evaluate</w:t>
            </w:r>
            <w:r w:rsidR="003376B7">
              <w:t>s</w:t>
            </w:r>
            <w:r w:rsidRPr="00192BE9">
              <w:t xml:space="preserve"> actions that can help move our society toward greater sustainability.</w:t>
            </w:r>
          </w:p>
        </w:tc>
      </w:tr>
    </w:tbl>
    <w:p w14:paraId="66AB2D34" w14:textId="77777777" w:rsidR="009C3397" w:rsidRDefault="009C3397" w:rsidP="009C3397"/>
    <w:p w14:paraId="185F6706" w14:textId="77777777" w:rsidR="00D05DC4" w:rsidRDefault="00D05DC4" w:rsidP="00D05DC4">
      <w:pPr>
        <w:pStyle w:val="Heading2"/>
      </w:pPr>
      <w:r>
        <w:t>Study Questions</w:t>
      </w:r>
    </w:p>
    <w:p w14:paraId="355197CC" w14:textId="1F0008EE" w:rsidR="00C87357" w:rsidRDefault="00D05DC4" w:rsidP="00D05DC4">
      <w:r>
        <w:t xml:space="preserve">Study questions are </w:t>
      </w:r>
      <w:proofErr w:type="gramStart"/>
      <w:r>
        <w:t>similar to</w:t>
      </w:r>
      <w:proofErr w:type="gramEnd"/>
      <w:r>
        <w:t xml:space="preserve"> homework assignments for reviewing and supplementing what you have learned in a lesson. You can repeat the questions as </w:t>
      </w:r>
      <w:proofErr w:type="gramStart"/>
      <w:r>
        <w:t>preferred, but</w:t>
      </w:r>
      <w:proofErr w:type="gramEnd"/>
      <w:r>
        <w:t xml:space="preserve"> will need to achieve a score of 80% or higher on the study questions associated with a lesson before that lesson is marked as complete. You will then receive the appropriate proportion of the total number of points available for the study questions based on their overall average score for all study questions in the course.</w:t>
      </w:r>
    </w:p>
    <w:p w14:paraId="7153E7B7" w14:textId="77777777" w:rsidR="009C3397" w:rsidRDefault="009C3397" w:rsidP="009C3397">
      <w:pPr>
        <w:pStyle w:val="Heading2"/>
      </w:pPr>
      <w:bookmarkStart w:id="6" w:name="_Toc535362192"/>
      <w:bookmarkStart w:id="7" w:name="_Toc535697014"/>
      <w:bookmarkStart w:id="8" w:name="_Toc535921604"/>
    </w:p>
    <w:p w14:paraId="552A877A" w14:textId="38C4CF5D" w:rsidR="009C3397" w:rsidRDefault="009C3397" w:rsidP="009C3397">
      <w:pPr>
        <w:pStyle w:val="Heading2"/>
      </w:pPr>
      <w:r>
        <w:t>Course Time Limit</w:t>
      </w:r>
      <w:bookmarkEnd w:id="6"/>
      <w:bookmarkEnd w:id="7"/>
      <w:bookmarkEnd w:id="8"/>
    </w:p>
    <w:p w14:paraId="5B9C4031" w14:textId="75145CD8" w:rsidR="009C3397" w:rsidRDefault="009C3397" w:rsidP="009C3397">
      <w:r>
        <w:t xml:space="preserve">This course is self-paced, which means you can complete the course requirements at a pace that is comfortable for you. However, there is an overall time limit of 180 days to complete each course, starting from the date on which you registered. This time limit is indicated on your Courses screen as “Course Period.” </w:t>
      </w:r>
    </w:p>
    <w:p w14:paraId="14576EB8" w14:textId="77777777" w:rsidR="009C3397" w:rsidRDefault="009C3397" w:rsidP="009C3397">
      <w:r>
        <w:t>Once the time limit has passed, you will no longer be able to attempt any further activities or assessments. Assuming you have not yet attempted the Final Exam, you can immediately unregister and reregister for the course to start over. Otherwise, you will be required to wait to reregister per our Course Retake Policy.</w:t>
      </w:r>
    </w:p>
    <w:p w14:paraId="09859F44" w14:textId="47AE853B" w:rsidR="009C3397" w:rsidRDefault="009C3397" w:rsidP="009C3397">
      <w:pPr>
        <w:pStyle w:val="Heading2"/>
      </w:pPr>
      <w:bookmarkStart w:id="9" w:name="_Toc535362194"/>
      <w:bookmarkStart w:id="10" w:name="_Toc535697015"/>
      <w:bookmarkStart w:id="11" w:name="_Toc535921605"/>
    </w:p>
    <w:p w14:paraId="58C7A193" w14:textId="046146DE" w:rsidR="009779AE" w:rsidRDefault="009779AE" w:rsidP="009779AE">
      <w:pPr>
        <w:pStyle w:val="Heading2"/>
      </w:pPr>
      <w:r>
        <w:t>Course Retake Policy</w:t>
      </w:r>
    </w:p>
    <w:p w14:paraId="7D8E5C24" w14:textId="77777777" w:rsidR="009779AE" w:rsidRDefault="009779AE" w:rsidP="009779AE">
      <w:r>
        <w:t>There is a one-week waiting period before this course can be re-taken, starting from the date of the last Final Exam attempt.</w:t>
      </w:r>
    </w:p>
    <w:p w14:paraId="5971C5D1" w14:textId="77777777" w:rsidR="009779AE" w:rsidRDefault="009779AE" w:rsidP="009779AE">
      <w:r>
        <w:t>To retake the course, first unregister from the course on your Courses screen. If it has been over a week since your last attempt, you will then be able to register for this course again.</w:t>
      </w:r>
    </w:p>
    <w:p w14:paraId="0D39F5EA" w14:textId="7CBEBCC3" w:rsidR="00E60661" w:rsidRPr="00E60661" w:rsidRDefault="009779AE" w:rsidP="009779AE">
      <w:r>
        <w:lastRenderedPageBreak/>
        <w:t>Your highest final score for the course will be used for the transcript.</w:t>
      </w:r>
    </w:p>
    <w:p w14:paraId="2565A66E" w14:textId="77777777" w:rsidR="00E60661" w:rsidRPr="00E60661" w:rsidRDefault="00E60661" w:rsidP="00E60661"/>
    <w:p w14:paraId="793F574A" w14:textId="49E5A206" w:rsidR="009C3397" w:rsidRPr="00F16071" w:rsidRDefault="009C3397" w:rsidP="009C3397">
      <w:pPr>
        <w:pStyle w:val="Heading2"/>
      </w:pPr>
      <w:r>
        <w:t>Exams</w:t>
      </w:r>
      <w:bookmarkEnd w:id="9"/>
      <w:bookmarkEnd w:id="10"/>
      <w:bookmarkEnd w:id="11"/>
    </w:p>
    <w:p w14:paraId="3A1D431F" w14:textId="77777777" w:rsidR="00450FDF" w:rsidRDefault="00450FDF" w:rsidP="00450FDF">
      <w:bookmarkStart w:id="12" w:name="_Toc535362195"/>
      <w:r>
        <w:t xml:space="preserve">There </w:t>
      </w:r>
      <w:proofErr w:type="gramStart"/>
      <w:r>
        <w:t>are</w:t>
      </w:r>
      <w:proofErr w:type="gramEnd"/>
      <w:r>
        <w:t xml:space="preserve"> a total of four exams for this course as described below.</w:t>
      </w:r>
    </w:p>
    <w:p w14:paraId="0FA4C279" w14:textId="77777777" w:rsidR="00450FDF" w:rsidRPr="00886FC1" w:rsidRDefault="00450FDF" w:rsidP="00450FDF">
      <w:pPr>
        <w:rPr>
          <w:sz w:val="16"/>
          <w:szCs w:val="16"/>
        </w:rPr>
      </w:pPr>
    </w:p>
    <w:tbl>
      <w:tblPr>
        <w:tblStyle w:val="TableGrid"/>
        <w:tblW w:w="0" w:type="auto"/>
        <w:jc w:val="center"/>
        <w:tblLook w:val="04A0" w:firstRow="1" w:lastRow="0" w:firstColumn="1" w:lastColumn="0" w:noHBand="0" w:noVBand="1"/>
      </w:tblPr>
      <w:tblGrid>
        <w:gridCol w:w="1173"/>
        <w:gridCol w:w="3322"/>
        <w:gridCol w:w="1800"/>
        <w:gridCol w:w="2070"/>
      </w:tblGrid>
      <w:tr w:rsidR="00450FDF" w:rsidRPr="000B7052" w14:paraId="6D34C996" w14:textId="77777777" w:rsidTr="000A33F8">
        <w:trPr>
          <w:jc w:val="center"/>
        </w:trPr>
        <w:tc>
          <w:tcPr>
            <w:tcW w:w="1173" w:type="dxa"/>
            <w:vAlign w:val="center"/>
          </w:tcPr>
          <w:p w14:paraId="3EC55700" w14:textId="77777777" w:rsidR="00450FDF" w:rsidRPr="000B7052" w:rsidRDefault="00450FDF" w:rsidP="000A33F8">
            <w:pPr>
              <w:jc w:val="center"/>
              <w:rPr>
                <w:b/>
              </w:rPr>
            </w:pPr>
            <w:r w:rsidRPr="000B7052">
              <w:rPr>
                <w:b/>
              </w:rPr>
              <w:t>Exam</w:t>
            </w:r>
          </w:p>
        </w:tc>
        <w:tc>
          <w:tcPr>
            <w:tcW w:w="3322" w:type="dxa"/>
            <w:vAlign w:val="center"/>
          </w:tcPr>
          <w:p w14:paraId="33A779EF" w14:textId="77777777" w:rsidR="00450FDF" w:rsidRPr="000B7052" w:rsidRDefault="00450FDF" w:rsidP="000A33F8">
            <w:pPr>
              <w:jc w:val="center"/>
              <w:rPr>
                <w:b/>
              </w:rPr>
            </w:pPr>
            <w:r>
              <w:rPr>
                <w:b/>
              </w:rPr>
              <w:t>Coverage</w:t>
            </w:r>
          </w:p>
        </w:tc>
        <w:tc>
          <w:tcPr>
            <w:tcW w:w="1800" w:type="dxa"/>
            <w:vAlign w:val="center"/>
          </w:tcPr>
          <w:p w14:paraId="3AFDA4FC" w14:textId="79CD46C6" w:rsidR="00450FDF" w:rsidRDefault="00450FDF" w:rsidP="000A33F8">
            <w:pPr>
              <w:jc w:val="center"/>
              <w:rPr>
                <w:b/>
              </w:rPr>
            </w:pPr>
            <w:r>
              <w:rPr>
                <w:b/>
              </w:rPr>
              <w:t>Number of Multiple-Choice Questions</w:t>
            </w:r>
          </w:p>
        </w:tc>
        <w:tc>
          <w:tcPr>
            <w:tcW w:w="2070" w:type="dxa"/>
            <w:vAlign w:val="center"/>
          </w:tcPr>
          <w:p w14:paraId="2FAF2540" w14:textId="77777777" w:rsidR="00450FDF" w:rsidRDefault="00450FDF" w:rsidP="000A33F8">
            <w:pPr>
              <w:jc w:val="center"/>
              <w:rPr>
                <w:b/>
              </w:rPr>
            </w:pPr>
            <w:r>
              <w:rPr>
                <w:b/>
              </w:rPr>
              <w:t>Time Limit, Minutes</w:t>
            </w:r>
          </w:p>
        </w:tc>
      </w:tr>
      <w:tr w:rsidR="00450FDF" w14:paraId="58A9022B" w14:textId="77777777" w:rsidTr="000A33F8">
        <w:trPr>
          <w:jc w:val="center"/>
        </w:trPr>
        <w:tc>
          <w:tcPr>
            <w:tcW w:w="1173" w:type="dxa"/>
          </w:tcPr>
          <w:p w14:paraId="1D266852" w14:textId="77777777" w:rsidR="00450FDF" w:rsidRPr="00FE45BD" w:rsidRDefault="00450FDF" w:rsidP="000A33F8">
            <w:pPr>
              <w:rPr>
                <w:b/>
              </w:rPr>
            </w:pPr>
            <w:r w:rsidRPr="00FE45BD">
              <w:rPr>
                <w:b/>
              </w:rPr>
              <w:t>First</w:t>
            </w:r>
          </w:p>
        </w:tc>
        <w:tc>
          <w:tcPr>
            <w:tcW w:w="3322" w:type="dxa"/>
          </w:tcPr>
          <w:p w14:paraId="657CC9C2" w14:textId="4CDEBF92" w:rsidR="00450FDF" w:rsidRDefault="00450FDF" w:rsidP="000A33F8">
            <w:r>
              <w:t>Lessons 1-</w:t>
            </w:r>
            <w:r w:rsidR="00486D27">
              <w:t>28</w:t>
            </w:r>
          </w:p>
        </w:tc>
        <w:tc>
          <w:tcPr>
            <w:tcW w:w="1800" w:type="dxa"/>
          </w:tcPr>
          <w:p w14:paraId="7F550B9D" w14:textId="77777777" w:rsidR="00450FDF" w:rsidRDefault="00450FDF" w:rsidP="000A33F8">
            <w:pPr>
              <w:jc w:val="center"/>
            </w:pPr>
            <w:r>
              <w:t>25</w:t>
            </w:r>
          </w:p>
        </w:tc>
        <w:tc>
          <w:tcPr>
            <w:tcW w:w="2070" w:type="dxa"/>
          </w:tcPr>
          <w:p w14:paraId="7CAB74B3" w14:textId="77777777" w:rsidR="00450FDF" w:rsidRDefault="00450FDF" w:rsidP="000A33F8">
            <w:pPr>
              <w:jc w:val="center"/>
            </w:pPr>
            <w:r>
              <w:t>60</w:t>
            </w:r>
          </w:p>
        </w:tc>
      </w:tr>
      <w:tr w:rsidR="00450FDF" w14:paraId="5D652A7C" w14:textId="77777777" w:rsidTr="000A33F8">
        <w:trPr>
          <w:jc w:val="center"/>
        </w:trPr>
        <w:tc>
          <w:tcPr>
            <w:tcW w:w="1173" w:type="dxa"/>
          </w:tcPr>
          <w:p w14:paraId="66C5114C" w14:textId="77777777" w:rsidR="00450FDF" w:rsidRPr="00FE45BD" w:rsidRDefault="00450FDF" w:rsidP="000A33F8">
            <w:pPr>
              <w:rPr>
                <w:b/>
              </w:rPr>
            </w:pPr>
            <w:r w:rsidRPr="00FE45BD">
              <w:rPr>
                <w:b/>
              </w:rPr>
              <w:t>Midterm</w:t>
            </w:r>
          </w:p>
        </w:tc>
        <w:tc>
          <w:tcPr>
            <w:tcW w:w="3322" w:type="dxa"/>
          </w:tcPr>
          <w:p w14:paraId="31357D1B" w14:textId="284839A4" w:rsidR="00450FDF" w:rsidRDefault="00450FDF" w:rsidP="000A33F8">
            <w:r>
              <w:t xml:space="preserve">Lessons </w:t>
            </w:r>
            <w:r w:rsidR="00486D27">
              <w:t>29</w:t>
            </w:r>
            <w:r w:rsidR="00036FBD">
              <w:t>-</w:t>
            </w:r>
            <w:r w:rsidR="00486D27">
              <w:t>51</w:t>
            </w:r>
            <w:r>
              <w:t xml:space="preserve"> with some review of topics from Lessons 1-</w:t>
            </w:r>
            <w:r w:rsidR="00486D27">
              <w:t>28</w:t>
            </w:r>
          </w:p>
        </w:tc>
        <w:tc>
          <w:tcPr>
            <w:tcW w:w="1800" w:type="dxa"/>
          </w:tcPr>
          <w:p w14:paraId="6C0D4F3F" w14:textId="77777777" w:rsidR="00450FDF" w:rsidRDefault="00450FDF" w:rsidP="000A33F8">
            <w:pPr>
              <w:jc w:val="center"/>
            </w:pPr>
            <w:r>
              <w:t>50</w:t>
            </w:r>
          </w:p>
        </w:tc>
        <w:tc>
          <w:tcPr>
            <w:tcW w:w="2070" w:type="dxa"/>
          </w:tcPr>
          <w:p w14:paraId="55A606F1" w14:textId="448C92E4" w:rsidR="00450FDF" w:rsidRDefault="00BC55E8" w:rsidP="000A33F8">
            <w:pPr>
              <w:jc w:val="center"/>
            </w:pPr>
            <w:r>
              <w:t>90</w:t>
            </w:r>
          </w:p>
        </w:tc>
      </w:tr>
      <w:tr w:rsidR="00450FDF" w14:paraId="2496C839" w14:textId="77777777" w:rsidTr="000A33F8">
        <w:trPr>
          <w:jc w:val="center"/>
        </w:trPr>
        <w:tc>
          <w:tcPr>
            <w:tcW w:w="1173" w:type="dxa"/>
          </w:tcPr>
          <w:p w14:paraId="0D1BB636" w14:textId="77777777" w:rsidR="00450FDF" w:rsidRPr="00FE45BD" w:rsidRDefault="00450FDF" w:rsidP="000A33F8">
            <w:pPr>
              <w:rPr>
                <w:b/>
              </w:rPr>
            </w:pPr>
            <w:r w:rsidRPr="00FE45BD">
              <w:rPr>
                <w:b/>
              </w:rPr>
              <w:t>Third</w:t>
            </w:r>
          </w:p>
        </w:tc>
        <w:tc>
          <w:tcPr>
            <w:tcW w:w="3322" w:type="dxa"/>
          </w:tcPr>
          <w:p w14:paraId="7B29DCF4" w14:textId="722C65C9" w:rsidR="00450FDF" w:rsidRDefault="00450FDF" w:rsidP="000A33F8">
            <w:r>
              <w:t xml:space="preserve">Lessons </w:t>
            </w:r>
            <w:r w:rsidR="00F873FC">
              <w:t>52-78</w:t>
            </w:r>
          </w:p>
        </w:tc>
        <w:tc>
          <w:tcPr>
            <w:tcW w:w="1800" w:type="dxa"/>
          </w:tcPr>
          <w:p w14:paraId="100E6458" w14:textId="77777777" w:rsidR="00450FDF" w:rsidRDefault="00450FDF" w:rsidP="000A33F8">
            <w:pPr>
              <w:jc w:val="center"/>
            </w:pPr>
            <w:r>
              <w:t>25</w:t>
            </w:r>
          </w:p>
        </w:tc>
        <w:tc>
          <w:tcPr>
            <w:tcW w:w="2070" w:type="dxa"/>
          </w:tcPr>
          <w:p w14:paraId="132C466F" w14:textId="77777777" w:rsidR="00450FDF" w:rsidRDefault="00450FDF" w:rsidP="000A33F8">
            <w:pPr>
              <w:jc w:val="center"/>
            </w:pPr>
            <w:r>
              <w:t>60</w:t>
            </w:r>
          </w:p>
        </w:tc>
      </w:tr>
      <w:tr w:rsidR="00450FDF" w14:paraId="46A13145" w14:textId="77777777" w:rsidTr="000A33F8">
        <w:trPr>
          <w:jc w:val="center"/>
        </w:trPr>
        <w:tc>
          <w:tcPr>
            <w:tcW w:w="1173" w:type="dxa"/>
          </w:tcPr>
          <w:p w14:paraId="478BF984" w14:textId="77777777" w:rsidR="00450FDF" w:rsidRPr="00FE45BD" w:rsidRDefault="00450FDF" w:rsidP="000A33F8">
            <w:pPr>
              <w:rPr>
                <w:b/>
              </w:rPr>
            </w:pPr>
            <w:r w:rsidRPr="00FE45BD">
              <w:rPr>
                <w:b/>
              </w:rPr>
              <w:t>Final</w:t>
            </w:r>
          </w:p>
        </w:tc>
        <w:tc>
          <w:tcPr>
            <w:tcW w:w="3322" w:type="dxa"/>
          </w:tcPr>
          <w:p w14:paraId="5FF00961" w14:textId="77777777" w:rsidR="00450FDF" w:rsidRDefault="00450FDF" w:rsidP="000A33F8">
            <w:r>
              <w:t>Cumulative; everything taught in the course with an emphasis on content from the last half (and particularly the last quarter) of the course</w:t>
            </w:r>
          </w:p>
        </w:tc>
        <w:tc>
          <w:tcPr>
            <w:tcW w:w="1800" w:type="dxa"/>
          </w:tcPr>
          <w:p w14:paraId="16A4B292" w14:textId="77777777" w:rsidR="00450FDF" w:rsidRDefault="00450FDF" w:rsidP="000A33F8">
            <w:pPr>
              <w:jc w:val="center"/>
            </w:pPr>
            <w:r>
              <w:t>50</w:t>
            </w:r>
          </w:p>
        </w:tc>
        <w:tc>
          <w:tcPr>
            <w:tcW w:w="2070" w:type="dxa"/>
          </w:tcPr>
          <w:p w14:paraId="476346D5" w14:textId="21786189" w:rsidR="00450FDF" w:rsidRDefault="00BC55E8" w:rsidP="000A33F8">
            <w:pPr>
              <w:jc w:val="center"/>
            </w:pPr>
            <w:r>
              <w:t>90</w:t>
            </w:r>
            <w:bookmarkStart w:id="13" w:name="_GoBack"/>
            <w:bookmarkEnd w:id="13"/>
          </w:p>
        </w:tc>
      </w:tr>
    </w:tbl>
    <w:p w14:paraId="2E8F4563" w14:textId="778974B0" w:rsidR="009C3397" w:rsidRDefault="009C3397" w:rsidP="00450FDF">
      <w:pPr>
        <w:pStyle w:val="Heading2"/>
      </w:pPr>
    </w:p>
    <w:p w14:paraId="4965B81D" w14:textId="77777777" w:rsidR="009C3397" w:rsidRDefault="009C3397" w:rsidP="009C3397">
      <w:pPr>
        <w:pStyle w:val="Heading2"/>
      </w:pPr>
      <w:bookmarkStart w:id="14" w:name="_Toc535697016"/>
      <w:bookmarkStart w:id="15" w:name="_Toc535921606"/>
      <w:r>
        <w:t>Grading</w:t>
      </w:r>
      <w:bookmarkEnd w:id="12"/>
      <w:bookmarkEnd w:id="14"/>
      <w:bookmarkEnd w:id="15"/>
    </w:p>
    <w:p w14:paraId="3FB19E78" w14:textId="77777777" w:rsidR="0046309B" w:rsidRDefault="0046309B" w:rsidP="0046309B">
      <w:r>
        <w:t>To determine your level of mastery for this course, you will earn points by successfully completing the learning and evaluation activities below in sequence.</w:t>
      </w:r>
    </w:p>
    <w:p w14:paraId="1C1929C1" w14:textId="77777777" w:rsidR="0046309B" w:rsidRPr="0003709B" w:rsidRDefault="0046309B" w:rsidP="0046309B">
      <w:pPr>
        <w:rPr>
          <w:sz w:val="16"/>
          <w:szCs w:val="16"/>
        </w:rPr>
      </w:pP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10"/>
      </w:tblGrid>
      <w:tr w:rsidR="0046309B" w14:paraId="3F3D2CEA" w14:textId="77777777" w:rsidTr="000A33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0C638185" w14:textId="77777777" w:rsidR="0046309B" w:rsidRDefault="0046309B" w:rsidP="000A33F8">
            <w:pPr>
              <w:jc w:val="center"/>
            </w:pPr>
            <w:r>
              <w:t>Source</w:t>
            </w:r>
          </w:p>
        </w:tc>
        <w:tc>
          <w:tcPr>
            <w:tcW w:w="3510" w:type="dxa"/>
            <w:tcBorders>
              <w:bottom w:val="none" w:sz="0" w:space="0" w:color="auto"/>
            </w:tcBorders>
          </w:tcPr>
          <w:p w14:paraId="606C8BD4" w14:textId="77777777" w:rsidR="0046309B" w:rsidRDefault="0046309B" w:rsidP="000A33F8">
            <w:pPr>
              <w:jc w:val="center"/>
              <w:cnfStyle w:val="100000000000" w:firstRow="1" w:lastRow="0" w:firstColumn="0" w:lastColumn="0" w:oddVBand="0" w:evenVBand="0" w:oddHBand="0" w:evenHBand="0" w:firstRowFirstColumn="0" w:firstRowLastColumn="0" w:lastRowFirstColumn="0" w:lastRowLastColumn="0"/>
            </w:pPr>
            <w:r>
              <w:t>Points Available</w:t>
            </w:r>
          </w:p>
        </w:tc>
      </w:tr>
      <w:tr w:rsidR="0046309B" w14:paraId="481DE1A2"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28F0F23D" w14:textId="77777777" w:rsidR="0046309B" w:rsidRDefault="0046309B" w:rsidP="000A33F8">
            <w:r>
              <w:t>Study Questions</w:t>
            </w:r>
          </w:p>
        </w:tc>
        <w:tc>
          <w:tcPr>
            <w:tcW w:w="3510" w:type="dxa"/>
          </w:tcPr>
          <w:p w14:paraId="3E89D0D9"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r w:rsidR="0046309B" w14:paraId="2B1EC1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D65E4A9" w14:textId="77777777" w:rsidR="0046309B" w:rsidRDefault="0046309B" w:rsidP="000A33F8">
            <w:r>
              <w:t>Graded Exam #1</w:t>
            </w:r>
          </w:p>
        </w:tc>
        <w:tc>
          <w:tcPr>
            <w:tcW w:w="3510" w:type="dxa"/>
          </w:tcPr>
          <w:p w14:paraId="0901F4F3"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6FEC7C2A"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5F8FAEA" w14:textId="77777777" w:rsidR="0046309B" w:rsidRDefault="0046309B" w:rsidP="000A33F8">
            <w:r>
              <w:t>Midterm Exam</w:t>
            </w:r>
          </w:p>
        </w:tc>
        <w:tc>
          <w:tcPr>
            <w:tcW w:w="3510" w:type="dxa"/>
          </w:tcPr>
          <w:p w14:paraId="4BBEC085"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200</w:t>
            </w:r>
          </w:p>
        </w:tc>
      </w:tr>
      <w:tr w:rsidR="0046309B" w14:paraId="5976C3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E644CE5" w14:textId="77777777" w:rsidR="0046309B" w:rsidRDefault="0046309B" w:rsidP="000A33F8">
            <w:r>
              <w:t>Graded Exam #2</w:t>
            </w:r>
          </w:p>
        </w:tc>
        <w:tc>
          <w:tcPr>
            <w:tcW w:w="3510" w:type="dxa"/>
          </w:tcPr>
          <w:p w14:paraId="48E6CDEC"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059E6A2E"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C3DC819" w14:textId="77777777" w:rsidR="0046309B" w:rsidRDefault="0046309B" w:rsidP="000A33F8">
            <w:r>
              <w:t>Final Exam</w:t>
            </w:r>
          </w:p>
        </w:tc>
        <w:tc>
          <w:tcPr>
            <w:tcW w:w="3510" w:type="dxa"/>
          </w:tcPr>
          <w:p w14:paraId="2932316A"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bl>
    <w:p w14:paraId="310517D2" w14:textId="77777777" w:rsidR="009C3397" w:rsidRPr="00525336" w:rsidRDefault="009C3397" w:rsidP="009C3397">
      <w:pPr>
        <w:rPr>
          <w:sz w:val="16"/>
          <w:szCs w:val="16"/>
        </w:rPr>
      </w:pPr>
    </w:p>
    <w:p w14:paraId="2B6F91C8" w14:textId="77777777" w:rsidR="009C3397" w:rsidRDefault="009C3397" w:rsidP="009C3397">
      <w:r>
        <w:t xml:space="preserve">Upon completion of the course and the grading source activities, InstantCert will provide you with a percentage score. The minimum passing score is 700 points, or an overall course grade of 70%. </w:t>
      </w:r>
    </w:p>
    <w:p w14:paraId="72386BDC" w14:textId="77777777" w:rsidR="009C3397" w:rsidRPr="001A06D2" w:rsidRDefault="009C3397" w:rsidP="009C3397">
      <w:pPr>
        <w:rPr>
          <w:b/>
        </w:rPr>
      </w:pPr>
      <w:r w:rsidRPr="001A06D2">
        <w:rPr>
          <w:b/>
        </w:rPr>
        <w:t>Important! Only a passing score on a course marked 100% complete (including the proctored final exam) is eligible for college credit.</w:t>
      </w:r>
    </w:p>
    <w:p w14:paraId="7874FF9E" w14:textId="77777777" w:rsidR="009C3397" w:rsidRDefault="009C3397" w:rsidP="009C3397">
      <w:pPr>
        <w:pStyle w:val="Heading2"/>
      </w:pPr>
      <w:bookmarkStart w:id="16" w:name="_Toc535362196"/>
      <w:bookmarkStart w:id="17" w:name="_Toc535697017"/>
      <w:bookmarkStart w:id="18" w:name="_Toc535921607"/>
    </w:p>
    <w:p w14:paraId="798EDEB0" w14:textId="207D0D53" w:rsidR="009C3397" w:rsidRDefault="009C3397" w:rsidP="009C3397">
      <w:pPr>
        <w:pStyle w:val="Heading2"/>
      </w:pPr>
      <w:r>
        <w:t>Proctoring of the Final Exam</w:t>
      </w:r>
      <w:bookmarkEnd w:id="16"/>
      <w:bookmarkEnd w:id="17"/>
      <w:bookmarkEnd w:id="18"/>
    </w:p>
    <w:p w14:paraId="79020B3B" w14:textId="77777777" w:rsidR="009C3397" w:rsidRDefault="009C3397" w:rsidP="009C3397">
      <w:r w:rsidRPr="008C1500">
        <w:t xml:space="preserve">A proctor is a person who monitors the work of another person who is taking an examination. Online proctoring services allow </w:t>
      </w:r>
      <w:r>
        <w:t>you to</w:t>
      </w:r>
      <w:r w:rsidRPr="008C1500">
        <w:t xml:space="preserve"> </w:t>
      </w:r>
      <w:r>
        <w:t xml:space="preserve">take the </w:t>
      </w:r>
      <w:r w:rsidRPr="008C1500">
        <w:t>work</w:t>
      </w:r>
      <w:r>
        <w:t>ing</w:t>
      </w:r>
      <w:r w:rsidRPr="008C1500">
        <w:t xml:space="preserve"> remotely </w:t>
      </w:r>
      <w:r>
        <w:t xml:space="preserve">and in the same way </w:t>
      </w:r>
      <w:r w:rsidRPr="008C1500">
        <w:t xml:space="preserve">as if </w:t>
      </w:r>
      <w:r>
        <w:t>you</w:t>
      </w:r>
      <w:r w:rsidRPr="008C1500">
        <w:t xml:space="preserve"> were sitting in an exam </w:t>
      </w:r>
      <w:r>
        <w:t xml:space="preserve">room. Proctoring ensures that the test you take complies with current college level examination policies. </w:t>
      </w:r>
    </w:p>
    <w:p w14:paraId="5E75DC07" w14:textId="77777777" w:rsidR="009C3397" w:rsidRDefault="009C3397" w:rsidP="009C3397">
      <w:r>
        <w:t xml:space="preserve">Proctoring is used only for the final exam. It is offered through the online proctoring service </w:t>
      </w:r>
      <w:proofErr w:type="spellStart"/>
      <w:r>
        <w:t>RPNow</w:t>
      </w:r>
      <w:proofErr w:type="spellEnd"/>
      <w:r>
        <w:t xml:space="preserve"> at the Software Secure web site. You will pay a separate fee to </w:t>
      </w:r>
      <w:proofErr w:type="spellStart"/>
      <w:r>
        <w:t>RPNow</w:t>
      </w:r>
      <w:proofErr w:type="spellEnd"/>
      <w:r>
        <w:t xml:space="preserve"> for each final exam attempt.</w:t>
      </w:r>
    </w:p>
    <w:p w14:paraId="6A86F3A6" w14:textId="77777777" w:rsidR="009C3397" w:rsidRDefault="009C3397" w:rsidP="009C3397">
      <w:proofErr w:type="spellStart"/>
      <w:r>
        <w:t>RPNow</w:t>
      </w:r>
      <w:proofErr w:type="spellEnd"/>
      <w:r>
        <w:t xml:space="preserve"> requires that students download and install proprietary software. They will need to use a PC or a Mac with a webcam. Students can review the full system requirements for </w:t>
      </w:r>
      <w:proofErr w:type="spellStart"/>
      <w:r>
        <w:t>RPNow</w:t>
      </w:r>
      <w:proofErr w:type="spellEnd"/>
      <w:r>
        <w:t xml:space="preserve"> at:</w:t>
      </w:r>
    </w:p>
    <w:p w14:paraId="563E11DA" w14:textId="77777777" w:rsidR="009C3397" w:rsidRDefault="00BC55E8" w:rsidP="009C3397">
      <w:hyperlink r:id="rId5" w:history="1">
        <w:r w:rsidR="009C3397" w:rsidRPr="00393CF5">
          <w:rPr>
            <w:rStyle w:val="Hyperlink"/>
          </w:rPr>
          <w:t>http://</w:t>
        </w:r>
        <w:bookmarkStart w:id="19" w:name="_Hlk535161197"/>
        <w:r w:rsidR="009C3397" w:rsidRPr="00393CF5">
          <w:rPr>
            <w:rStyle w:val="Hyperlink"/>
          </w:rPr>
          <w:t>clientportal.softwaresecure.com</w:t>
        </w:r>
        <w:bookmarkEnd w:id="19"/>
        <w:r w:rsidR="009C3397" w:rsidRPr="00393CF5">
          <w:rPr>
            <w:rStyle w:val="Hyperlink"/>
          </w:rPr>
          <w:t>/support/index.php?/Knowledgebase/Article/View/252/0/system-requirements-remote-proctor-now</w:t>
        </w:r>
      </w:hyperlink>
    </w:p>
    <w:p w14:paraId="7ED08059" w14:textId="77777777" w:rsidR="009C3397" w:rsidRDefault="009C3397" w:rsidP="009C3397">
      <w:pPr>
        <w:pStyle w:val="Heading2"/>
      </w:pPr>
      <w:bookmarkStart w:id="20" w:name="_Toc535362197"/>
      <w:bookmarkStart w:id="21" w:name="_Toc535697018"/>
      <w:bookmarkStart w:id="22" w:name="_Toc535921608"/>
    </w:p>
    <w:p w14:paraId="263FBD47" w14:textId="110CF543" w:rsidR="009C3397" w:rsidRDefault="00A141FB" w:rsidP="009C3397">
      <w:pPr>
        <w:pStyle w:val="Heading2"/>
      </w:pPr>
      <w:r>
        <w:t xml:space="preserve">Exam </w:t>
      </w:r>
      <w:r w:rsidR="009C3397">
        <w:t>Retake Policy</w:t>
      </w:r>
      <w:bookmarkEnd w:id="20"/>
      <w:bookmarkEnd w:id="21"/>
      <w:bookmarkEnd w:id="22"/>
    </w:p>
    <w:p w14:paraId="764D018A" w14:textId="56BD88DB" w:rsidR="009C3397" w:rsidRDefault="00C9745D" w:rsidP="009C3397">
      <w:r>
        <w:t>Both graded exams, the midterm a</w:t>
      </w:r>
      <w:r w:rsidR="005545AF">
        <w:t>n</w:t>
      </w:r>
      <w:r>
        <w:t>d the final exam can be retaken ONCE</w:t>
      </w:r>
      <w:r w:rsidR="009C3397">
        <w:t>.</w:t>
      </w:r>
      <w:r w:rsidR="005545AF">
        <w:t xml:space="preserve"> There is a 3-day waiting period before you will be allowed to retake an exam.</w:t>
      </w:r>
      <w:r w:rsidR="009C3397">
        <w:t xml:space="preserve"> If you retake </w:t>
      </w:r>
      <w:r w:rsidR="00AF1DB2">
        <w:t>an</w:t>
      </w:r>
      <w:r w:rsidR="009C3397">
        <w:t xml:space="preserve"> exam, the higher result of your two attempts will be used to calculate your final score.</w:t>
      </w:r>
    </w:p>
    <w:p w14:paraId="45C32533" w14:textId="77777777" w:rsidR="009C3397" w:rsidRDefault="009C3397" w:rsidP="009C3397">
      <w:pPr>
        <w:pStyle w:val="Heading2"/>
      </w:pPr>
      <w:bookmarkStart w:id="23" w:name="_Toc535362198"/>
      <w:bookmarkStart w:id="24" w:name="_Toc535697019"/>
      <w:bookmarkStart w:id="25" w:name="_Toc535921609"/>
    </w:p>
    <w:p w14:paraId="0341068B" w14:textId="1B206B5A" w:rsidR="009C3397" w:rsidRDefault="009C3397" w:rsidP="009C3397">
      <w:pPr>
        <w:pStyle w:val="Heading2"/>
      </w:pPr>
      <w:r>
        <w:t>Academic Integrity</w:t>
      </w:r>
      <w:bookmarkEnd w:id="23"/>
      <w:bookmarkEnd w:id="24"/>
      <w:bookmarkEnd w:id="25"/>
    </w:p>
    <w:p w14:paraId="70A4BC43" w14:textId="2F11DFC2" w:rsidR="009C3397" w:rsidRDefault="009C3397" w:rsidP="009C3397">
      <w:r>
        <w:t>You are required to comply with the InstantCert full Student Code of Conduct, which specifically prohibits cheating or any other academically dishonest behavior. Violation of any part of the Student Code of Conduct can result in a grade reduction or even suspension from the course.</w:t>
      </w:r>
    </w:p>
    <w:p w14:paraId="5BC1D3AA" w14:textId="75268ED2" w:rsidR="00FE4190" w:rsidRDefault="00FE4190" w:rsidP="009C3397"/>
    <w:p w14:paraId="7AD75844" w14:textId="77777777" w:rsidR="009C3397" w:rsidRDefault="009C3397" w:rsidP="0065467D">
      <w:pPr>
        <w:pStyle w:val="Heading2"/>
      </w:pPr>
      <w:bookmarkStart w:id="26" w:name="_Toc535362199"/>
      <w:bookmarkStart w:id="27" w:name="_Toc535697020"/>
      <w:bookmarkStart w:id="28" w:name="_Toc535921610"/>
      <w:r>
        <w:t>Software Requirements</w:t>
      </w:r>
      <w:bookmarkEnd w:id="26"/>
      <w:bookmarkEnd w:id="27"/>
      <w:bookmarkEnd w:id="28"/>
    </w:p>
    <w:p w14:paraId="32621846" w14:textId="77777777" w:rsidR="009C3397" w:rsidRDefault="009C3397" w:rsidP="009C3397">
      <w:r>
        <w:t>The operating system, browser, internet access and speed are provided below for use with courses from the InstantCert web site.</w:t>
      </w:r>
    </w:p>
    <w:tbl>
      <w:tblPr>
        <w:tblStyle w:val="TableGrid"/>
        <w:tblW w:w="0" w:type="auto"/>
        <w:tblLook w:val="04A0" w:firstRow="1" w:lastRow="0" w:firstColumn="1" w:lastColumn="0" w:noHBand="0" w:noVBand="1"/>
      </w:tblPr>
      <w:tblGrid>
        <w:gridCol w:w="2965"/>
        <w:gridCol w:w="6385"/>
      </w:tblGrid>
      <w:tr w:rsidR="009C3397" w14:paraId="55BE9864" w14:textId="77777777" w:rsidTr="00381876">
        <w:tc>
          <w:tcPr>
            <w:tcW w:w="2965" w:type="dxa"/>
            <w:vAlign w:val="center"/>
          </w:tcPr>
          <w:p w14:paraId="7849FABC" w14:textId="77777777" w:rsidR="009C3397" w:rsidRPr="006750E4" w:rsidRDefault="009C3397" w:rsidP="00381876">
            <w:pPr>
              <w:rPr>
                <w:rFonts w:eastAsia="Times New Roman" w:cstheme="minorHAnsi"/>
                <w:b/>
                <w:sz w:val="24"/>
              </w:rPr>
            </w:pPr>
            <w:r w:rsidRPr="006750E4">
              <w:rPr>
                <w:rFonts w:eastAsia="Times New Roman" w:cstheme="minorHAnsi"/>
                <w:b/>
                <w:sz w:val="24"/>
              </w:rPr>
              <w:t>Operating Systems</w:t>
            </w:r>
          </w:p>
        </w:tc>
        <w:tc>
          <w:tcPr>
            <w:tcW w:w="6385" w:type="dxa"/>
            <w:vAlign w:val="center"/>
          </w:tcPr>
          <w:p w14:paraId="4924FF2C" w14:textId="77777777" w:rsidR="009C3397" w:rsidRPr="00FA007E"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Windows XP and above</w:t>
            </w:r>
          </w:p>
          <w:p w14:paraId="2B5E2502"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Mac OS X </w:t>
            </w:r>
          </w:p>
        </w:tc>
      </w:tr>
      <w:tr w:rsidR="009C3397" w14:paraId="6B72A422" w14:textId="77777777" w:rsidTr="00381876">
        <w:tc>
          <w:tcPr>
            <w:tcW w:w="2965" w:type="dxa"/>
            <w:vAlign w:val="center"/>
          </w:tcPr>
          <w:p w14:paraId="0BE905EE" w14:textId="77777777" w:rsidR="009C3397" w:rsidRPr="006750E4" w:rsidRDefault="009C3397" w:rsidP="00381876">
            <w:pPr>
              <w:rPr>
                <w:rFonts w:eastAsia="Times New Roman" w:cstheme="minorHAnsi"/>
                <w:b/>
                <w:sz w:val="24"/>
              </w:rPr>
            </w:pPr>
            <w:r w:rsidRPr="006750E4">
              <w:rPr>
                <w:rFonts w:eastAsia="Times New Roman" w:cstheme="minorHAnsi"/>
                <w:b/>
                <w:sz w:val="24"/>
              </w:rPr>
              <w:t>Browsers</w:t>
            </w:r>
          </w:p>
        </w:tc>
        <w:tc>
          <w:tcPr>
            <w:tcW w:w="6385" w:type="dxa"/>
            <w:vAlign w:val="center"/>
          </w:tcPr>
          <w:p w14:paraId="05952786" w14:textId="77777777" w:rsidR="009C3397" w:rsidRPr="00F03CFA"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The latest version of Chrome</w:t>
            </w:r>
            <w:r w:rsidRPr="00F03CFA">
              <w:rPr>
                <w:rFonts w:eastAsia="Times New Roman" w:cstheme="minorHAnsi"/>
                <w:sz w:val="21"/>
                <w:szCs w:val="21"/>
              </w:rPr>
              <w:t xml:space="preserve">, </w:t>
            </w:r>
            <w:r w:rsidRPr="00FA007E">
              <w:rPr>
                <w:rFonts w:eastAsia="Times New Roman" w:cstheme="minorHAnsi"/>
                <w:sz w:val="21"/>
                <w:szCs w:val="21"/>
              </w:rPr>
              <w:t>Firefox</w:t>
            </w:r>
            <w:r w:rsidRPr="00F03CFA">
              <w:rPr>
                <w:rFonts w:eastAsia="Times New Roman" w:cstheme="minorHAnsi"/>
                <w:sz w:val="21"/>
                <w:szCs w:val="21"/>
              </w:rPr>
              <w:t xml:space="preserve"> of Safari</w:t>
            </w:r>
          </w:p>
          <w:p w14:paraId="4619EBAA"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 xml:space="preserve">IE9 </w:t>
            </w:r>
            <w:r w:rsidRPr="00F03CFA">
              <w:rPr>
                <w:rFonts w:eastAsia="Times New Roman" w:cstheme="minorHAnsi"/>
                <w:sz w:val="21"/>
                <w:szCs w:val="21"/>
              </w:rPr>
              <w:t>or higher</w:t>
            </w:r>
          </w:p>
        </w:tc>
      </w:tr>
      <w:tr w:rsidR="009C3397" w14:paraId="6E87A953" w14:textId="77777777" w:rsidTr="00381876">
        <w:tc>
          <w:tcPr>
            <w:tcW w:w="2965" w:type="dxa"/>
            <w:vAlign w:val="center"/>
          </w:tcPr>
          <w:p w14:paraId="280FA237" w14:textId="77777777" w:rsidR="009C3397" w:rsidRPr="006750E4" w:rsidRDefault="009C3397" w:rsidP="00381876">
            <w:pPr>
              <w:rPr>
                <w:rFonts w:eastAsia="Times New Roman" w:cstheme="minorHAnsi"/>
                <w:b/>
                <w:sz w:val="24"/>
              </w:rPr>
            </w:pPr>
            <w:r w:rsidRPr="006750E4">
              <w:rPr>
                <w:rFonts w:eastAsia="Times New Roman" w:cstheme="minorHAnsi"/>
                <w:b/>
                <w:sz w:val="24"/>
              </w:rPr>
              <w:t>Internet and Speed</w:t>
            </w:r>
          </w:p>
        </w:tc>
        <w:tc>
          <w:tcPr>
            <w:tcW w:w="6385" w:type="dxa"/>
          </w:tcPr>
          <w:p w14:paraId="7ACEE72D" w14:textId="77777777" w:rsidR="009C3397" w:rsidRPr="00F03CFA" w:rsidRDefault="009C3397" w:rsidP="00381876">
            <w:pPr>
              <w:ind w:left="72"/>
              <w:rPr>
                <w:rFonts w:eastAsia="Times New Roman" w:cstheme="minorHAnsi"/>
                <w:sz w:val="24"/>
              </w:rPr>
            </w:pPr>
            <w:r w:rsidRPr="00FA007E">
              <w:rPr>
                <w:rFonts w:eastAsia="Times New Roman" w:cstheme="minorHAnsi"/>
                <w:sz w:val="21"/>
                <w:szCs w:val="21"/>
              </w:rPr>
              <w:t>Broadband Internet; 1Mbps or higher</w:t>
            </w:r>
          </w:p>
        </w:tc>
      </w:tr>
    </w:tbl>
    <w:p w14:paraId="652C302A" w14:textId="77777777" w:rsidR="009C3397" w:rsidRDefault="009C3397" w:rsidP="009C3397">
      <w:pPr>
        <w:pStyle w:val="Heading3"/>
      </w:pPr>
      <w:bookmarkStart w:id="29" w:name="_Toc535362200"/>
      <w:bookmarkStart w:id="30" w:name="_Toc535697021"/>
      <w:bookmarkStart w:id="31" w:name="_Toc535921611"/>
    </w:p>
    <w:p w14:paraId="06670007" w14:textId="4EC48B98" w:rsidR="009C3397" w:rsidRPr="0051627F" w:rsidRDefault="009C3397" w:rsidP="009C3397">
      <w:pPr>
        <w:pStyle w:val="Heading2"/>
      </w:pPr>
      <w:r w:rsidRPr="00FC7FD0">
        <w:t>Accessibility and Disability Accommodations</w:t>
      </w:r>
      <w:bookmarkEnd w:id="29"/>
      <w:bookmarkEnd w:id="30"/>
      <w:bookmarkEnd w:id="31"/>
    </w:p>
    <w:p w14:paraId="3878BDEC" w14:textId="77777777" w:rsidR="009C3397" w:rsidRDefault="009C3397" w:rsidP="009C3397">
      <w:r>
        <w:t>InstantCert strives to make online education accessible to people everywhere in the following ways:</w:t>
      </w:r>
    </w:p>
    <w:p w14:paraId="0B1AD51D" w14:textId="77777777" w:rsidR="009C3397" w:rsidRDefault="009C3397" w:rsidP="009C3397">
      <w:pPr>
        <w:pStyle w:val="ListParagraph"/>
        <w:numPr>
          <w:ilvl w:val="0"/>
          <w:numId w:val="2"/>
        </w:numPr>
        <w:spacing w:before="0" w:after="160" w:line="259" w:lineRule="auto"/>
      </w:pPr>
      <w:r>
        <w:lastRenderedPageBreak/>
        <w:t>All course content is available online, accessible from anywhere through an Internet connection.</w:t>
      </w:r>
    </w:p>
    <w:p w14:paraId="6A531E05" w14:textId="77777777" w:rsidR="009C3397" w:rsidRDefault="009C3397" w:rsidP="009C3397">
      <w:pPr>
        <w:pStyle w:val="ListParagraph"/>
        <w:numPr>
          <w:ilvl w:val="0"/>
          <w:numId w:val="2"/>
        </w:numPr>
        <w:spacing w:before="0" w:after="160" w:line="259" w:lineRule="auto"/>
      </w:pPr>
      <w:r>
        <w:t xml:space="preserve">All video lessons include a transcript for use by those who are hearing impaired and/or by students that wish to have written copies of the lessons. </w:t>
      </w:r>
    </w:p>
    <w:p w14:paraId="11B38773" w14:textId="77777777" w:rsidR="009C3397" w:rsidRDefault="009C3397" w:rsidP="009C3397">
      <w:pPr>
        <w:pStyle w:val="ListParagraph"/>
        <w:numPr>
          <w:ilvl w:val="0"/>
          <w:numId w:val="2"/>
        </w:numPr>
        <w:spacing w:before="0" w:after="160" w:line="259" w:lineRule="auto"/>
      </w:pPr>
      <w:r>
        <w:t>All video lessons have close captioning.</w:t>
      </w:r>
    </w:p>
    <w:p w14:paraId="2F601441" w14:textId="77777777" w:rsidR="009C3397" w:rsidRDefault="009C3397" w:rsidP="009C3397">
      <w:pPr>
        <w:pStyle w:val="ListParagraph"/>
        <w:numPr>
          <w:ilvl w:val="0"/>
          <w:numId w:val="2"/>
        </w:numPr>
        <w:spacing w:before="0" w:after="160" w:line="259" w:lineRule="auto"/>
      </w:pPr>
      <w:r>
        <w:t>Lesson pages can be navigated by screen readers.</w:t>
      </w:r>
    </w:p>
    <w:p w14:paraId="13F5D469" w14:textId="77777777" w:rsidR="009C3397" w:rsidRDefault="009C3397" w:rsidP="009C3397">
      <w:pPr>
        <w:pStyle w:val="ListParagraph"/>
        <w:numPr>
          <w:ilvl w:val="0"/>
          <w:numId w:val="2"/>
        </w:numPr>
        <w:spacing w:before="0" w:after="160" w:line="259" w:lineRule="auto"/>
      </w:pPr>
      <w:r>
        <w:t>Videos may be replayed an unlimited amount of times.  Video speed can be increased or slowed.</w:t>
      </w:r>
    </w:p>
    <w:p w14:paraId="58E28EF8" w14:textId="77777777" w:rsidR="009C3397" w:rsidRDefault="009C3397" w:rsidP="009C3397">
      <w:pPr>
        <w:pStyle w:val="ListParagraph"/>
        <w:numPr>
          <w:ilvl w:val="0"/>
          <w:numId w:val="2"/>
        </w:numPr>
        <w:spacing w:before="0" w:after="160" w:line="259" w:lineRule="auto"/>
      </w:pPr>
      <w:r>
        <w:t>Lesson transcripts and quizzes can be printed for offline use.</w:t>
      </w:r>
    </w:p>
    <w:p w14:paraId="06939D3C" w14:textId="77777777" w:rsidR="009C3397" w:rsidRPr="00467EB7" w:rsidRDefault="009C3397" w:rsidP="009C3397">
      <w:pPr>
        <w:pStyle w:val="ListParagraph"/>
        <w:numPr>
          <w:ilvl w:val="0"/>
          <w:numId w:val="2"/>
        </w:numPr>
        <w:spacing w:before="0" w:after="160" w:line="259" w:lineRule="auto"/>
      </w:pPr>
      <w:r>
        <w:t xml:space="preserve">The proctoring software </w:t>
      </w:r>
      <w:proofErr w:type="spellStart"/>
      <w:r>
        <w:t>RPNow</w:t>
      </w:r>
      <w:proofErr w:type="spellEnd"/>
      <w:r>
        <w:t xml:space="preserve"> works with screen readers.</w:t>
      </w:r>
    </w:p>
    <w:p w14:paraId="6011070D" w14:textId="77777777" w:rsidR="00987C9C" w:rsidRDefault="00987C9C"/>
    <w:sectPr w:rsidR="0098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A39"/>
    <w:multiLevelType w:val="hybridMultilevel"/>
    <w:tmpl w:val="5178F6C6"/>
    <w:lvl w:ilvl="0" w:tplc="2468FC64">
      <w:start w:val="7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D124B"/>
    <w:multiLevelType w:val="hybridMultilevel"/>
    <w:tmpl w:val="DBA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970"/>
    <w:multiLevelType w:val="multilevel"/>
    <w:tmpl w:val="2DF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7"/>
    <w:rsid w:val="00012317"/>
    <w:rsid w:val="00013D41"/>
    <w:rsid w:val="00014D00"/>
    <w:rsid w:val="00017E9D"/>
    <w:rsid w:val="00022C0F"/>
    <w:rsid w:val="000237BC"/>
    <w:rsid w:val="00024F8B"/>
    <w:rsid w:val="000279F7"/>
    <w:rsid w:val="00030192"/>
    <w:rsid w:val="00031C15"/>
    <w:rsid w:val="00032031"/>
    <w:rsid w:val="00034850"/>
    <w:rsid w:val="00036FBD"/>
    <w:rsid w:val="00046B10"/>
    <w:rsid w:val="00050ECF"/>
    <w:rsid w:val="000667F4"/>
    <w:rsid w:val="00066B2F"/>
    <w:rsid w:val="00070DC5"/>
    <w:rsid w:val="000854F7"/>
    <w:rsid w:val="00086FA3"/>
    <w:rsid w:val="00090269"/>
    <w:rsid w:val="000A056D"/>
    <w:rsid w:val="000A54DF"/>
    <w:rsid w:val="000A5838"/>
    <w:rsid w:val="000A70FB"/>
    <w:rsid w:val="000D081C"/>
    <w:rsid w:val="000E20DE"/>
    <w:rsid w:val="000F244B"/>
    <w:rsid w:val="000F36F1"/>
    <w:rsid w:val="00100B95"/>
    <w:rsid w:val="00102CA9"/>
    <w:rsid w:val="001153C7"/>
    <w:rsid w:val="0011548D"/>
    <w:rsid w:val="00123B83"/>
    <w:rsid w:val="00131E7E"/>
    <w:rsid w:val="0013711F"/>
    <w:rsid w:val="00146CD7"/>
    <w:rsid w:val="00181AFE"/>
    <w:rsid w:val="00182CB9"/>
    <w:rsid w:val="00186BC5"/>
    <w:rsid w:val="001B1C26"/>
    <w:rsid w:val="001C3F26"/>
    <w:rsid w:val="001F0534"/>
    <w:rsid w:val="001F41D4"/>
    <w:rsid w:val="00202A0C"/>
    <w:rsid w:val="0020711D"/>
    <w:rsid w:val="00210924"/>
    <w:rsid w:val="00214B96"/>
    <w:rsid w:val="00230207"/>
    <w:rsid w:val="0023143B"/>
    <w:rsid w:val="002316EF"/>
    <w:rsid w:val="00235542"/>
    <w:rsid w:val="00245784"/>
    <w:rsid w:val="00252376"/>
    <w:rsid w:val="00252E23"/>
    <w:rsid w:val="00263892"/>
    <w:rsid w:val="00263EEC"/>
    <w:rsid w:val="00264E0A"/>
    <w:rsid w:val="0027284C"/>
    <w:rsid w:val="00282126"/>
    <w:rsid w:val="0028280A"/>
    <w:rsid w:val="00287216"/>
    <w:rsid w:val="002923AA"/>
    <w:rsid w:val="0029510E"/>
    <w:rsid w:val="002963C3"/>
    <w:rsid w:val="002978C0"/>
    <w:rsid w:val="002B3740"/>
    <w:rsid w:val="002B49F2"/>
    <w:rsid w:val="002C684D"/>
    <w:rsid w:val="002D1E4D"/>
    <w:rsid w:val="002D79B7"/>
    <w:rsid w:val="002E678B"/>
    <w:rsid w:val="002F28FC"/>
    <w:rsid w:val="002F2A39"/>
    <w:rsid w:val="002F780C"/>
    <w:rsid w:val="00323458"/>
    <w:rsid w:val="0032490C"/>
    <w:rsid w:val="003263B5"/>
    <w:rsid w:val="003305C0"/>
    <w:rsid w:val="003318F3"/>
    <w:rsid w:val="003376B7"/>
    <w:rsid w:val="00337E05"/>
    <w:rsid w:val="00342720"/>
    <w:rsid w:val="0034533A"/>
    <w:rsid w:val="0036196A"/>
    <w:rsid w:val="00361A84"/>
    <w:rsid w:val="003639C4"/>
    <w:rsid w:val="00363F0E"/>
    <w:rsid w:val="0036643E"/>
    <w:rsid w:val="00370C96"/>
    <w:rsid w:val="0037180E"/>
    <w:rsid w:val="0038067F"/>
    <w:rsid w:val="00382B35"/>
    <w:rsid w:val="00384AC5"/>
    <w:rsid w:val="00396600"/>
    <w:rsid w:val="003A3145"/>
    <w:rsid w:val="003A551F"/>
    <w:rsid w:val="003A59E2"/>
    <w:rsid w:val="003B5776"/>
    <w:rsid w:val="003C20A0"/>
    <w:rsid w:val="003C2980"/>
    <w:rsid w:val="003D11A9"/>
    <w:rsid w:val="003E3BD7"/>
    <w:rsid w:val="003E7C7C"/>
    <w:rsid w:val="003F0BBA"/>
    <w:rsid w:val="003F6D53"/>
    <w:rsid w:val="003F6FC4"/>
    <w:rsid w:val="0041029F"/>
    <w:rsid w:val="004146A2"/>
    <w:rsid w:val="00414FC1"/>
    <w:rsid w:val="0041505A"/>
    <w:rsid w:val="004216CD"/>
    <w:rsid w:val="00422A74"/>
    <w:rsid w:val="00430FD1"/>
    <w:rsid w:val="004331F1"/>
    <w:rsid w:val="00435DD5"/>
    <w:rsid w:val="00436E92"/>
    <w:rsid w:val="004373B7"/>
    <w:rsid w:val="0045046B"/>
    <w:rsid w:val="00450FDF"/>
    <w:rsid w:val="004566E1"/>
    <w:rsid w:val="00456FB4"/>
    <w:rsid w:val="00460A14"/>
    <w:rsid w:val="00462A2F"/>
    <w:rsid w:val="0046309B"/>
    <w:rsid w:val="00474AF2"/>
    <w:rsid w:val="00476C28"/>
    <w:rsid w:val="00486D27"/>
    <w:rsid w:val="004926E2"/>
    <w:rsid w:val="00492B8D"/>
    <w:rsid w:val="00497E28"/>
    <w:rsid w:val="004A0744"/>
    <w:rsid w:val="004A1778"/>
    <w:rsid w:val="004B0D78"/>
    <w:rsid w:val="004B0DE1"/>
    <w:rsid w:val="004B4767"/>
    <w:rsid w:val="004C14C9"/>
    <w:rsid w:val="004D0F24"/>
    <w:rsid w:val="004D2351"/>
    <w:rsid w:val="004D2827"/>
    <w:rsid w:val="004D47B9"/>
    <w:rsid w:val="004D7097"/>
    <w:rsid w:val="004F0A5F"/>
    <w:rsid w:val="004F143C"/>
    <w:rsid w:val="005052AC"/>
    <w:rsid w:val="00513AA0"/>
    <w:rsid w:val="00521A0B"/>
    <w:rsid w:val="0054102C"/>
    <w:rsid w:val="00542ADD"/>
    <w:rsid w:val="005456CE"/>
    <w:rsid w:val="00547BE9"/>
    <w:rsid w:val="005505AF"/>
    <w:rsid w:val="005545AF"/>
    <w:rsid w:val="005905B6"/>
    <w:rsid w:val="005943C5"/>
    <w:rsid w:val="00596655"/>
    <w:rsid w:val="005A22AD"/>
    <w:rsid w:val="005A2662"/>
    <w:rsid w:val="005A48B3"/>
    <w:rsid w:val="005B067E"/>
    <w:rsid w:val="005B128B"/>
    <w:rsid w:val="005B7315"/>
    <w:rsid w:val="005C0B9B"/>
    <w:rsid w:val="005C279B"/>
    <w:rsid w:val="005E64A6"/>
    <w:rsid w:val="005E7667"/>
    <w:rsid w:val="005F214A"/>
    <w:rsid w:val="00622AC8"/>
    <w:rsid w:val="006242E6"/>
    <w:rsid w:val="006253EE"/>
    <w:rsid w:val="006353B0"/>
    <w:rsid w:val="00635401"/>
    <w:rsid w:val="006360AD"/>
    <w:rsid w:val="00640D88"/>
    <w:rsid w:val="00652502"/>
    <w:rsid w:val="0065405F"/>
    <w:rsid w:val="0065467D"/>
    <w:rsid w:val="006705C8"/>
    <w:rsid w:val="0067369E"/>
    <w:rsid w:val="0067755A"/>
    <w:rsid w:val="00694E15"/>
    <w:rsid w:val="00696DC2"/>
    <w:rsid w:val="006A5466"/>
    <w:rsid w:val="006A5753"/>
    <w:rsid w:val="006B453C"/>
    <w:rsid w:val="006B7999"/>
    <w:rsid w:val="006D6ED7"/>
    <w:rsid w:val="006E499F"/>
    <w:rsid w:val="006F257B"/>
    <w:rsid w:val="006F7348"/>
    <w:rsid w:val="00705257"/>
    <w:rsid w:val="0070602D"/>
    <w:rsid w:val="0071750C"/>
    <w:rsid w:val="007305DB"/>
    <w:rsid w:val="00755AA2"/>
    <w:rsid w:val="00761BB9"/>
    <w:rsid w:val="0076595A"/>
    <w:rsid w:val="00777392"/>
    <w:rsid w:val="007849C3"/>
    <w:rsid w:val="0078653F"/>
    <w:rsid w:val="00786902"/>
    <w:rsid w:val="00792B19"/>
    <w:rsid w:val="00792BA4"/>
    <w:rsid w:val="007949F8"/>
    <w:rsid w:val="007B100D"/>
    <w:rsid w:val="007D61E7"/>
    <w:rsid w:val="007E2E69"/>
    <w:rsid w:val="007F114E"/>
    <w:rsid w:val="007F381E"/>
    <w:rsid w:val="00801869"/>
    <w:rsid w:val="00804DD4"/>
    <w:rsid w:val="00807C64"/>
    <w:rsid w:val="00812768"/>
    <w:rsid w:val="00815DED"/>
    <w:rsid w:val="008242EF"/>
    <w:rsid w:val="008406A3"/>
    <w:rsid w:val="0085058E"/>
    <w:rsid w:val="0085127C"/>
    <w:rsid w:val="00870064"/>
    <w:rsid w:val="00870598"/>
    <w:rsid w:val="00875653"/>
    <w:rsid w:val="00875810"/>
    <w:rsid w:val="00880122"/>
    <w:rsid w:val="00891590"/>
    <w:rsid w:val="0089773A"/>
    <w:rsid w:val="008A19B7"/>
    <w:rsid w:val="008A6E4F"/>
    <w:rsid w:val="008C04CC"/>
    <w:rsid w:val="008C0559"/>
    <w:rsid w:val="008C5AD8"/>
    <w:rsid w:val="008E3C49"/>
    <w:rsid w:val="008E63DC"/>
    <w:rsid w:val="008E6A33"/>
    <w:rsid w:val="00907316"/>
    <w:rsid w:val="00907D49"/>
    <w:rsid w:val="009122EE"/>
    <w:rsid w:val="009218C7"/>
    <w:rsid w:val="009240DF"/>
    <w:rsid w:val="00926D83"/>
    <w:rsid w:val="00944BEE"/>
    <w:rsid w:val="009477CD"/>
    <w:rsid w:val="00954DE5"/>
    <w:rsid w:val="00974D2A"/>
    <w:rsid w:val="009779AE"/>
    <w:rsid w:val="00981B7B"/>
    <w:rsid w:val="009851F8"/>
    <w:rsid w:val="00987C9C"/>
    <w:rsid w:val="00993D9E"/>
    <w:rsid w:val="00994EB2"/>
    <w:rsid w:val="009A08C8"/>
    <w:rsid w:val="009A0B47"/>
    <w:rsid w:val="009A101D"/>
    <w:rsid w:val="009B041B"/>
    <w:rsid w:val="009B2AD3"/>
    <w:rsid w:val="009B59AB"/>
    <w:rsid w:val="009B5C86"/>
    <w:rsid w:val="009B6664"/>
    <w:rsid w:val="009C3397"/>
    <w:rsid w:val="009D2BC6"/>
    <w:rsid w:val="009D7BAC"/>
    <w:rsid w:val="009E60FE"/>
    <w:rsid w:val="009F1D30"/>
    <w:rsid w:val="009F37DC"/>
    <w:rsid w:val="00A03ED4"/>
    <w:rsid w:val="00A051F2"/>
    <w:rsid w:val="00A139A2"/>
    <w:rsid w:val="00A141FB"/>
    <w:rsid w:val="00A16592"/>
    <w:rsid w:val="00A34ADC"/>
    <w:rsid w:val="00A36E49"/>
    <w:rsid w:val="00A4018A"/>
    <w:rsid w:val="00A405E5"/>
    <w:rsid w:val="00A41C97"/>
    <w:rsid w:val="00A4623B"/>
    <w:rsid w:val="00A47926"/>
    <w:rsid w:val="00A615AD"/>
    <w:rsid w:val="00A62B51"/>
    <w:rsid w:val="00A639DF"/>
    <w:rsid w:val="00A81EBD"/>
    <w:rsid w:val="00AA1F55"/>
    <w:rsid w:val="00AA2D11"/>
    <w:rsid w:val="00AA5F53"/>
    <w:rsid w:val="00AA77CF"/>
    <w:rsid w:val="00AB491B"/>
    <w:rsid w:val="00AB586B"/>
    <w:rsid w:val="00AC38DD"/>
    <w:rsid w:val="00AC5039"/>
    <w:rsid w:val="00AE037D"/>
    <w:rsid w:val="00AF06C3"/>
    <w:rsid w:val="00AF1DB2"/>
    <w:rsid w:val="00AF1F71"/>
    <w:rsid w:val="00AF2A9C"/>
    <w:rsid w:val="00AF4482"/>
    <w:rsid w:val="00B02DBB"/>
    <w:rsid w:val="00B177B0"/>
    <w:rsid w:val="00B17F72"/>
    <w:rsid w:val="00B32771"/>
    <w:rsid w:val="00B345D9"/>
    <w:rsid w:val="00B37F74"/>
    <w:rsid w:val="00B42E6D"/>
    <w:rsid w:val="00B44AB2"/>
    <w:rsid w:val="00B45823"/>
    <w:rsid w:val="00B45EE6"/>
    <w:rsid w:val="00B51864"/>
    <w:rsid w:val="00B51B69"/>
    <w:rsid w:val="00B55F17"/>
    <w:rsid w:val="00B56E60"/>
    <w:rsid w:val="00B57B5F"/>
    <w:rsid w:val="00B6394F"/>
    <w:rsid w:val="00B70F86"/>
    <w:rsid w:val="00B81CC9"/>
    <w:rsid w:val="00B81EEF"/>
    <w:rsid w:val="00B821EC"/>
    <w:rsid w:val="00B83A76"/>
    <w:rsid w:val="00B90E07"/>
    <w:rsid w:val="00B938BB"/>
    <w:rsid w:val="00B95701"/>
    <w:rsid w:val="00B977A9"/>
    <w:rsid w:val="00BA0881"/>
    <w:rsid w:val="00BA41C9"/>
    <w:rsid w:val="00BA5041"/>
    <w:rsid w:val="00BA5ACB"/>
    <w:rsid w:val="00BC4C1B"/>
    <w:rsid w:val="00BC55E8"/>
    <w:rsid w:val="00BD3CA2"/>
    <w:rsid w:val="00BD65F7"/>
    <w:rsid w:val="00BD6C84"/>
    <w:rsid w:val="00BE1B4E"/>
    <w:rsid w:val="00BF042F"/>
    <w:rsid w:val="00BF1201"/>
    <w:rsid w:val="00C019C8"/>
    <w:rsid w:val="00C05352"/>
    <w:rsid w:val="00C12E05"/>
    <w:rsid w:val="00C22C9E"/>
    <w:rsid w:val="00C24A6F"/>
    <w:rsid w:val="00C36AD5"/>
    <w:rsid w:val="00C44B49"/>
    <w:rsid w:val="00C46A9A"/>
    <w:rsid w:val="00C47D9E"/>
    <w:rsid w:val="00C52CC1"/>
    <w:rsid w:val="00C54A79"/>
    <w:rsid w:val="00C56FC8"/>
    <w:rsid w:val="00C641E4"/>
    <w:rsid w:val="00C6752D"/>
    <w:rsid w:val="00C67D05"/>
    <w:rsid w:val="00C71BF6"/>
    <w:rsid w:val="00C83763"/>
    <w:rsid w:val="00C87357"/>
    <w:rsid w:val="00C907DC"/>
    <w:rsid w:val="00C90BFC"/>
    <w:rsid w:val="00C9745D"/>
    <w:rsid w:val="00CA7C79"/>
    <w:rsid w:val="00CB3595"/>
    <w:rsid w:val="00CC382E"/>
    <w:rsid w:val="00CC722F"/>
    <w:rsid w:val="00CD1989"/>
    <w:rsid w:val="00CE005A"/>
    <w:rsid w:val="00CE3A25"/>
    <w:rsid w:val="00CF05AE"/>
    <w:rsid w:val="00CF5AB9"/>
    <w:rsid w:val="00CF5F92"/>
    <w:rsid w:val="00D02521"/>
    <w:rsid w:val="00D05DC4"/>
    <w:rsid w:val="00D06B1F"/>
    <w:rsid w:val="00D07466"/>
    <w:rsid w:val="00D13025"/>
    <w:rsid w:val="00D220B2"/>
    <w:rsid w:val="00D42A2E"/>
    <w:rsid w:val="00D47D0F"/>
    <w:rsid w:val="00D532CE"/>
    <w:rsid w:val="00D56593"/>
    <w:rsid w:val="00D61652"/>
    <w:rsid w:val="00D81825"/>
    <w:rsid w:val="00D878DA"/>
    <w:rsid w:val="00D94311"/>
    <w:rsid w:val="00D95CD1"/>
    <w:rsid w:val="00DA4400"/>
    <w:rsid w:val="00DA573A"/>
    <w:rsid w:val="00DA5AEE"/>
    <w:rsid w:val="00DA6756"/>
    <w:rsid w:val="00DA7E7E"/>
    <w:rsid w:val="00DB5E2E"/>
    <w:rsid w:val="00DC2998"/>
    <w:rsid w:val="00DE187B"/>
    <w:rsid w:val="00DE33FB"/>
    <w:rsid w:val="00DF2864"/>
    <w:rsid w:val="00E20278"/>
    <w:rsid w:val="00E20F7B"/>
    <w:rsid w:val="00E22CFC"/>
    <w:rsid w:val="00E3582B"/>
    <w:rsid w:val="00E44209"/>
    <w:rsid w:val="00E453D0"/>
    <w:rsid w:val="00E60661"/>
    <w:rsid w:val="00E61A12"/>
    <w:rsid w:val="00E6466D"/>
    <w:rsid w:val="00E64AED"/>
    <w:rsid w:val="00E65749"/>
    <w:rsid w:val="00E65DB3"/>
    <w:rsid w:val="00E70617"/>
    <w:rsid w:val="00E736A8"/>
    <w:rsid w:val="00E75FD1"/>
    <w:rsid w:val="00E900C4"/>
    <w:rsid w:val="00E9594C"/>
    <w:rsid w:val="00EA1FA6"/>
    <w:rsid w:val="00EB3E71"/>
    <w:rsid w:val="00EC2860"/>
    <w:rsid w:val="00EC2E40"/>
    <w:rsid w:val="00EC362C"/>
    <w:rsid w:val="00ED74C1"/>
    <w:rsid w:val="00EE7791"/>
    <w:rsid w:val="00EF0356"/>
    <w:rsid w:val="00EF216B"/>
    <w:rsid w:val="00F04483"/>
    <w:rsid w:val="00F07EEE"/>
    <w:rsid w:val="00F11C44"/>
    <w:rsid w:val="00F12992"/>
    <w:rsid w:val="00F23CA8"/>
    <w:rsid w:val="00F34F1F"/>
    <w:rsid w:val="00F3535D"/>
    <w:rsid w:val="00F5278C"/>
    <w:rsid w:val="00F551BF"/>
    <w:rsid w:val="00F621CE"/>
    <w:rsid w:val="00F713E8"/>
    <w:rsid w:val="00F76586"/>
    <w:rsid w:val="00F80792"/>
    <w:rsid w:val="00F873FC"/>
    <w:rsid w:val="00FA0877"/>
    <w:rsid w:val="00FA60F7"/>
    <w:rsid w:val="00FB2E3C"/>
    <w:rsid w:val="00FC0885"/>
    <w:rsid w:val="00FC214B"/>
    <w:rsid w:val="00FC7D26"/>
    <w:rsid w:val="00FE4190"/>
    <w:rsid w:val="00FF4A1D"/>
    <w:rsid w:val="00F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6DD8"/>
  <w15:chartTrackingRefBased/>
  <w15:docId w15:val="{42C0D321-0979-4D56-AC0E-A0C50DF3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psheet text"/>
    <w:qFormat/>
    <w:rsid w:val="009C3397"/>
    <w:pPr>
      <w:spacing w:before="100" w:after="100" w:line="240" w:lineRule="auto"/>
    </w:pPr>
    <w:rPr>
      <w:rFonts w:ascii="Calibri" w:eastAsia="Calibri" w:hAnsi="Calibri" w:cs="Times New Roman"/>
      <w:bCs/>
      <w:color w:val="000000" w:themeColor="text1"/>
      <w:szCs w:val="24"/>
    </w:rPr>
  </w:style>
  <w:style w:type="paragraph" w:styleId="Heading1">
    <w:name w:val="heading 1"/>
    <w:basedOn w:val="Normal"/>
    <w:next w:val="Normal"/>
    <w:link w:val="Heading1Char"/>
    <w:uiPriority w:val="9"/>
    <w:qFormat/>
    <w:rsid w:val="009C3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397"/>
    <w:pPr>
      <w:keepNext/>
      <w:keepLines/>
      <w:spacing w:before="80" w:after="8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9C3397"/>
    <w:pPr>
      <w:keepNext/>
      <w:keepLines/>
      <w:spacing w:before="70" w:after="7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397"/>
    <w:rPr>
      <w:rFonts w:asciiTheme="majorHAnsi" w:eastAsiaTheme="majorEastAsia" w:hAnsiTheme="majorHAnsi" w:cstheme="majorBidi"/>
      <w:bCs/>
      <w:color w:val="2F5496" w:themeColor="accent1" w:themeShade="BF"/>
      <w:sz w:val="28"/>
      <w:szCs w:val="26"/>
    </w:rPr>
  </w:style>
  <w:style w:type="character" w:customStyle="1" w:styleId="Heading3Char">
    <w:name w:val="Heading 3 Char"/>
    <w:basedOn w:val="DefaultParagraphFont"/>
    <w:link w:val="Heading3"/>
    <w:uiPriority w:val="9"/>
    <w:rsid w:val="009C3397"/>
    <w:rPr>
      <w:rFonts w:asciiTheme="majorHAnsi" w:eastAsiaTheme="majorEastAsia" w:hAnsiTheme="majorHAnsi" w:cstheme="majorBidi"/>
      <w:bCs/>
      <w:color w:val="1F3763" w:themeColor="accent1" w:themeShade="7F"/>
      <w:sz w:val="24"/>
      <w:szCs w:val="24"/>
    </w:rPr>
  </w:style>
  <w:style w:type="character" w:styleId="Hyperlink">
    <w:name w:val="Hyperlink"/>
    <w:basedOn w:val="DefaultParagraphFont"/>
    <w:uiPriority w:val="99"/>
    <w:unhideWhenUsed/>
    <w:rsid w:val="009C3397"/>
    <w:rPr>
      <w:color w:val="0000FF"/>
      <w:u w:val="single"/>
    </w:rPr>
  </w:style>
  <w:style w:type="paragraph" w:styleId="ListParagraph">
    <w:name w:val="List Paragraph"/>
    <w:basedOn w:val="Normal"/>
    <w:uiPriority w:val="34"/>
    <w:qFormat/>
    <w:rsid w:val="009C3397"/>
    <w:pPr>
      <w:ind w:left="720"/>
      <w:contextualSpacing/>
    </w:pPr>
  </w:style>
  <w:style w:type="table" w:styleId="TableGrid">
    <w:name w:val="Table Grid"/>
    <w:basedOn w:val="TableNormal"/>
    <w:uiPriority w:val="39"/>
    <w:rsid w:val="009C3397"/>
    <w:pPr>
      <w:spacing w:after="0" w:line="240" w:lineRule="auto"/>
    </w:pPr>
    <w:rPr>
      <w:rFonts w:ascii="Calibri" w:eastAsia="Calibri" w:hAnsi="Calibri" w:cs="Times New Roman"/>
      <w:bCs/>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C33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9C3397"/>
    <w:rPr>
      <w:sz w:val="16"/>
      <w:szCs w:val="16"/>
    </w:rPr>
  </w:style>
  <w:style w:type="paragraph" w:styleId="CommentText">
    <w:name w:val="annotation text"/>
    <w:basedOn w:val="Normal"/>
    <w:link w:val="CommentTextChar"/>
    <w:uiPriority w:val="99"/>
    <w:semiHidden/>
    <w:unhideWhenUsed/>
    <w:rsid w:val="009C3397"/>
    <w:rPr>
      <w:sz w:val="20"/>
      <w:szCs w:val="20"/>
    </w:rPr>
  </w:style>
  <w:style w:type="character" w:customStyle="1" w:styleId="CommentTextChar">
    <w:name w:val="Comment Text Char"/>
    <w:basedOn w:val="DefaultParagraphFont"/>
    <w:link w:val="CommentText"/>
    <w:uiPriority w:val="99"/>
    <w:semiHidden/>
    <w:rsid w:val="009C3397"/>
    <w:rPr>
      <w:rFonts w:ascii="Calibri" w:eastAsia="Calibri" w:hAnsi="Calibri" w:cs="Times New Roman"/>
      <w:bCs/>
      <w:color w:val="000000" w:themeColor="text1"/>
      <w:sz w:val="20"/>
      <w:szCs w:val="20"/>
    </w:rPr>
  </w:style>
  <w:style w:type="paragraph" w:customStyle="1" w:styleId="Default">
    <w:name w:val="Default"/>
    <w:rsid w:val="009C33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styleId="GridTable1Light-Accent3">
    <w:name w:val="Grid Table 1 Light Accent 3"/>
    <w:basedOn w:val="TableNormal"/>
    <w:uiPriority w:val="46"/>
    <w:rsid w:val="009C339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C33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97"/>
    <w:rPr>
      <w:rFonts w:ascii="Segoe UI" w:eastAsia="Calibri" w:hAnsi="Segoe UI" w:cs="Segoe UI"/>
      <w:bCs/>
      <w:color w:val="000000" w:themeColor="text1"/>
      <w:sz w:val="18"/>
      <w:szCs w:val="18"/>
    </w:rPr>
  </w:style>
  <w:style w:type="character" w:customStyle="1" w:styleId="Heading1Char">
    <w:name w:val="Heading 1 Char"/>
    <w:basedOn w:val="DefaultParagraphFont"/>
    <w:link w:val="Heading1"/>
    <w:uiPriority w:val="9"/>
    <w:rsid w:val="009C3397"/>
    <w:rPr>
      <w:rFonts w:asciiTheme="majorHAnsi" w:eastAsiaTheme="majorEastAsia" w:hAnsiTheme="majorHAnsi" w:cstheme="majorBidi"/>
      <w:bCs/>
      <w:color w:val="2F5496" w:themeColor="accent1" w:themeShade="BF"/>
      <w:sz w:val="32"/>
      <w:szCs w:val="32"/>
    </w:rPr>
  </w:style>
  <w:style w:type="paragraph" w:customStyle="1" w:styleId="body">
    <w:name w:val="body"/>
    <w:basedOn w:val="Normal"/>
    <w:rsid w:val="005E7667"/>
    <w:pPr>
      <w:spacing w:before="80" w:after="0"/>
    </w:pPr>
    <w:rPr>
      <w:rFonts w:ascii="Book Antiqua" w:eastAsia="Times New Roman" w:hAnsi="Book Antiqua"/>
      <w:bCs w:val="0"/>
      <w:color w:val="auto"/>
      <w:spacing w:val="10"/>
      <w:sz w:val="18"/>
      <w:szCs w:val="18"/>
    </w:rPr>
  </w:style>
  <w:style w:type="character" w:styleId="UnresolvedMention">
    <w:name w:val="Unresolved Mention"/>
    <w:basedOn w:val="DefaultParagraphFont"/>
    <w:uiPriority w:val="99"/>
    <w:semiHidden/>
    <w:unhideWhenUsed/>
    <w:rsid w:val="0069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entportal.softwaresecure.com/support/index.php?/Knowledgebase/Article/View/252/0/system-requirements-remote-proctor-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Gloer</dc:creator>
  <cp:keywords/>
  <dc:description/>
  <cp:lastModifiedBy>Steven Gloer</cp:lastModifiedBy>
  <cp:revision>41</cp:revision>
  <dcterms:created xsi:type="dcterms:W3CDTF">2019-02-08T01:39:00Z</dcterms:created>
  <dcterms:modified xsi:type="dcterms:W3CDTF">2019-05-20T14:36:00Z</dcterms:modified>
</cp:coreProperties>
</file>